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УТВЕРЖДЕНА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Кавказского сельского поселения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Кавказского района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от__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05.10.2016        </w:t>
      </w:r>
      <w:r>
        <w:rPr>
          <w:rFonts w:cs="Times New Roman" w:ascii="Times New Roman" w:hAnsi="Times New Roman"/>
          <w:color w:val="000000"/>
          <w:sz w:val="28"/>
          <w:szCs w:val="28"/>
        </w:rPr>
        <w:t>№__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458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cs="Times New Roman" w:ascii="Times New Roman" w:hAnsi="Times New Roman"/>
          <w:sz w:val="28"/>
          <w:szCs w:val="28"/>
        </w:rPr>
        <w:t>МЕТОДИКА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прогнозирования поступлений доходов  местного  бюджета,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главным администратором которых является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_DdeLink__325_653752198"/>
      <w:bookmarkEnd w:id="2"/>
      <w:r>
        <w:rPr>
          <w:rFonts w:cs="Times New Roman" w:ascii="Times New Roman" w:hAnsi="Times New Roman"/>
          <w:sz w:val="28"/>
          <w:szCs w:val="28"/>
        </w:rPr>
        <w:t xml:space="preserve">администрация Кавказского сельского поселения Кавказского района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 Настоящая Методика прогнозирования поступлений доходов местного бюджета, главным администратором которых является администрация Кавказского сельского поселения Кавказского района  (далее – Методика) определяет порядок расчета прогноза поступлений по источникам доходов местного бюджета, главным администратором которых является администрация Кавказского сельского поселения Кавказского района  (далее – Администрация).</w:t>
      </w:r>
    </w:p>
    <w:p>
      <w:pPr>
        <w:pStyle w:val="ConsPlusTitle"/>
        <w:spacing w:lineRule="atLeast" w:line="16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2. Расчет прогноза поступлений по источникам доходов местного бюджета, главным администратором которых является Администрация, осуществляется в следующем порядке: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2.1.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поселений: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а) используется метод прямого расчёта;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б) при расчёте прогнозного объёма поступлений учитываются: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количество платных услуг, предоставленных за истекший трёхлетний период или период оказания услуги, а также средняя динамика изменения данного  показателя;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размер государственной пошлины, установленной пунктом 106 статьи 333.33 Налогового Кодекса Российской Федерации. 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в) формула расчёта: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Пгт = Кп х Ргп, где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Пгт – прогнозируемый объём поступлений госпошлины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в прогнозируемом году; 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Ргп – сумма госпошлины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согласно Налоговому Кодексу Российской федерации;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Кп – количество планируемых платных услуг в прогнозируемом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2.2. Прогноз поступления доходов от арендной платы за земельные участки, находящиеся в собственности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а) используется  метод прямого расчёта.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б) при расчёте прогнозного объёма поступлений учитываются: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годовая сумма начислений по действующим договорам  аренды земельных участков;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задолженность по арендной плате за земельные участки на 1 января предшествующего года;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данные о планируемом расторжении договоров (выкуп и др. причины)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формула расчёта: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АПпрз = АПгод–Ссниж + Сно, где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АПпрз – прогноз поступлений доходов от арендной платы за земельные участки;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АПгод – размер годовой арендной платы за земельные участки, сложившийся по договорам аренды земельных участков, действующим по состоянию на 31 декабря года, предшествующего текущему финансовому году;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Ссниж– прогнозируемая сумма снижения арендной платы по расторгнутым договорам аренды земельных участков;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 – сумма неисполненных обязательств (недоимки), сложившаяся по состоянию на 31 декабря года, предшествующего текущему, и прогнозируемая к поступлению в планируемом периоде.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2.3. Прогноз поступления доходов от продажи земельных участков, находящиеся в собственности поселения.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используется  метод прямого расчёта.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sz w:val="28"/>
          <w:szCs w:val="28"/>
        </w:rPr>
        <w:t>б) при расчёте прогнозного объёма поступлений учитываются: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наличие земельных участков, находящихся в собственности поселения и предполагаемых к выкупу в очередном финансовом году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формула расчёта: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Пзу= ∑(</w:t>
      </w: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уч. Х Ст) х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Пзу – доходы от продажи земельных участков;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уч. –площадь земельного участка планируемого к продаже, м.кв.;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Ст- стоимость 1-го квадратного метра земельного участка, предполагаемого к продаже;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>-  количество земельных участков, предполагаемых к продаже в очередном финансовом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2.4. Прогноз поступления доходов в виде арендной платы за пользование муниципальным имуществом.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используется  метод прямого расчёта.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sz w:val="28"/>
          <w:szCs w:val="28"/>
        </w:rPr>
        <w:t>б) при расчёте прогнозного объёма поступлений учитываются: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арендной платы по действующим договорам аренды;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 задолженности по договорам аренды имущества на начало очередного финансового года;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динамика  роста стоимости аренды в соответствии с рыночными условиями текущего и очередного финансового года.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в) формула расчёта: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АПим = АПгодим * Кап+ Сзим, где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АПим – прогноз доходов от сдачи в аренду муниципального имущества;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АПгодим – сумма начисленной годовой арендной платы по действующим по состоянию на первое число месяца, следующего за последним отчетным периодом (кварталом) договорам аренды муниципального имущества;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Сзим– сумма неисполненных обязательств (задолженности), подлежащих к взысканию, по состоянию на первое число месяца, следующего за последним отчетным периодом (кварталом).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Кап – коэффициент удорожания стоимости аренды муниципального имущества, определяется при наличии переоценки стоимости аренды на очередной финансовый год.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15" w:right="43" w:firstLine="71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313131"/>
          <w:spacing w:val="-1"/>
          <w:sz w:val="28"/>
          <w:szCs w:val="28"/>
        </w:rPr>
        <w:t xml:space="preserve">2.5. </w:t>
      </w:r>
      <w:r>
        <w:rPr>
          <w:rFonts w:eastAsia="Times New Roman" w:cs="Times New Roman" w:ascii="Times New Roman" w:hAnsi="Times New Roman"/>
          <w:b w:val="false"/>
          <w:bCs w:val="false"/>
          <w:color w:val="313131"/>
          <w:spacing w:val="-1"/>
          <w:sz w:val="28"/>
          <w:szCs w:val="28"/>
        </w:rPr>
        <w:t xml:space="preserve">Доходы от перечисления части прибыли, остающейся после уплаты </w:t>
      </w:r>
      <w:r>
        <w:rPr>
          <w:rFonts w:eastAsia="Times New Roman" w:cs="Times New Roman" w:ascii="Times New Roman" w:hAnsi="Times New Roman"/>
          <w:b w:val="false"/>
          <w:bCs w:val="false"/>
          <w:color w:val="313131"/>
          <w:spacing w:val="9"/>
          <w:sz w:val="28"/>
          <w:szCs w:val="28"/>
        </w:rPr>
        <w:t xml:space="preserve">налогов и иных обязательных платежей муниципальных унитарных предприятий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Кавказского</w:t>
      </w:r>
      <w:r>
        <w:rPr>
          <w:rFonts w:eastAsia="Times New Roman" w:cs="Times New Roman" w:ascii="Times New Roman" w:hAnsi="Times New Roman"/>
          <w:b w:val="false"/>
          <w:bCs w:val="false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313131"/>
          <w:spacing w:val="9"/>
          <w:sz w:val="28"/>
          <w:szCs w:val="28"/>
        </w:rPr>
        <w:t>сельского поселения</w:t>
      </w:r>
      <w:r>
        <w:rPr>
          <w:rFonts w:eastAsia="Times New Roman" w:cs="Times New Roman" w:ascii="Times New Roman" w:hAnsi="Times New Roman"/>
          <w:b/>
          <w:bCs w:val="false"/>
          <w:color w:val="313131"/>
          <w:spacing w:val="9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left" w:pos="1109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313131"/>
          <w:spacing w:val="-12"/>
          <w:sz w:val="28"/>
          <w:szCs w:val="28"/>
        </w:rPr>
        <w:t xml:space="preserve">             </w:t>
      </w:r>
      <w:r>
        <w:rPr>
          <w:rFonts w:eastAsia="Times New Roman" w:cs="Times New Roman" w:ascii="Times New Roman" w:hAnsi="Times New Roman"/>
          <w:color w:val="313131"/>
          <w:spacing w:val="-12"/>
          <w:sz w:val="28"/>
          <w:szCs w:val="28"/>
        </w:rPr>
        <w:t>а)</w:t>
      </w:r>
      <w:r>
        <w:rPr>
          <w:rFonts w:eastAsia="Times New Roman" w:cs="Times New Roman" w:ascii="Times New Roman" w:hAnsi="Times New Roman"/>
          <w:color w:val="3131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313131"/>
          <w:spacing w:val="-2"/>
          <w:sz w:val="28"/>
          <w:szCs w:val="28"/>
        </w:rPr>
        <w:t>применяется метод прямого расчета;</w:t>
      </w:r>
    </w:p>
    <w:p>
      <w:pPr>
        <w:pStyle w:val="Normal"/>
        <w:shd w:val="clear" w:color="auto" w:fill="FFFFFF"/>
        <w:tabs>
          <w:tab w:val="left" w:pos="11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б) при расчёте прогнозного объёма поступлений учитываются:</w:t>
      </w:r>
    </w:p>
    <w:p>
      <w:pPr>
        <w:pStyle w:val="Normal"/>
        <w:shd w:val="clear" w:color="auto" w:fill="FFFFFF"/>
        <w:tabs>
          <w:tab w:val="left" w:pos="1109" w:leader="none"/>
        </w:tabs>
        <w:spacing w:lineRule="auto" w:line="240" w:before="0" w:after="0"/>
        <w:ind w:left="82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МУПов на территории Кавказского сельского поселения;</w:t>
      </w:r>
    </w:p>
    <w:p>
      <w:pPr>
        <w:pStyle w:val="Normal"/>
        <w:shd w:val="clear" w:color="auto" w:fill="FFFFFF"/>
        <w:tabs>
          <w:tab w:val="left" w:pos="1109" w:leader="none"/>
        </w:tabs>
        <w:spacing w:lineRule="auto" w:line="240" w:before="0" w:after="0"/>
        <w:ind w:left="82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финансовый прогноз, оценка результатов деятельности   предприятия (МУП) за текущий год;</w:t>
      </w:r>
    </w:p>
    <w:p>
      <w:pPr>
        <w:pStyle w:val="Normal"/>
        <w:shd w:val="clear" w:color="auto" w:fill="FFFFFF"/>
        <w:tabs>
          <w:tab w:val="left" w:pos="1109" w:leader="none"/>
        </w:tabs>
        <w:spacing w:lineRule="auto" w:line="240" w:before="0" w:after="0"/>
        <w:ind w:left="8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-норматив отчисления чистой прибыли в бюджет поселения;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в) формула расчёта: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34" w:after="200"/>
        <w:ind w:left="845" w:hanging="0"/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ЧПмуп = ( Пр* 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  <w:lang w:val="en-US"/>
        </w:rPr>
        <w:t>N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) * 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  <w:lang w:val="en-US"/>
        </w:rPr>
        <w:t>n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. Где</w:t>
      </w:r>
    </w:p>
    <w:p>
      <w:pPr>
        <w:pStyle w:val="Normal"/>
        <w:shd w:val="clear" w:color="auto" w:fill="FFFFFF"/>
        <w:spacing w:lineRule="auto" w:line="240" w:before="0" w:after="0"/>
        <w:ind w:left="845" w:hanging="0"/>
        <w:jc w:val="both"/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ЧПмуп - прогнозируемые доходы от  перечисления части прибыли  МУП в бюджет поселения;</w:t>
      </w:r>
    </w:p>
    <w:p>
      <w:pPr>
        <w:pStyle w:val="Normal"/>
        <w:shd w:val="clear" w:color="auto" w:fill="FFFFFF"/>
        <w:spacing w:lineRule="auto" w:line="240" w:before="0" w:after="0"/>
        <w:ind w:left="845" w:hanging="0"/>
        <w:jc w:val="both"/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Пр- ожидаемая  чистая прибыль предприятия (МУП) в текущем году;</w:t>
      </w:r>
    </w:p>
    <w:p>
      <w:pPr>
        <w:pStyle w:val="Normal"/>
        <w:shd w:val="clear" w:color="auto" w:fill="FFFFFF"/>
        <w:spacing w:lineRule="auto" w:line="240" w:before="0" w:after="0"/>
        <w:ind w:left="845" w:hanging="0"/>
        <w:jc w:val="both"/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  <w:lang w:val="en-US"/>
        </w:rPr>
        <w:t>N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-  норматив отчисления чистой прибыли в бюджет поселения;</w:t>
      </w:r>
    </w:p>
    <w:p>
      <w:pPr>
        <w:pStyle w:val="Normal"/>
        <w:shd w:val="clear" w:color="auto" w:fill="FFFFFF"/>
        <w:spacing w:lineRule="auto" w:line="240" w:before="0" w:after="0"/>
        <w:ind w:left="845" w:hanging="0"/>
        <w:jc w:val="both"/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  <w:lang w:val="en-US"/>
        </w:rPr>
        <w:t>n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–  количество муниципальных унитарных предприятий.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бюджет поселения зачисляются средства, полученные за пользование жилым помещением (плата за наём) муниципального жилого фонда сельского  поселения.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используется  метод прямого расчёта.</w:t>
      </w:r>
    </w:p>
    <w:p>
      <w:pPr>
        <w:pStyle w:val="ConsPlusTitle"/>
        <w:spacing w:lineRule="atLeast" w:line="16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sz w:val="28"/>
          <w:szCs w:val="28"/>
        </w:rPr>
        <w:t>б) при расчёте прогнозного объёма поступлений учитываются: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данные, предоставляемые  о площади жилых помещений, сдаваемых по договорам социального найма и договорам найма служебного жилого помещения;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утвержденная базовая ставка за пользование жилым помещением (плата за наём) за 1 кв.м общей площади в месяц.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в) формула расчёта: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>Пнайм = ∑По+З, где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Пнайм - прогноз поступления платы за пользование жилым помещением (плата за наём) в бюджет сельского поселения;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∑</w:t>
      </w:r>
      <w:r>
        <w:rPr>
          <w:rFonts w:cs="Times New Roman" w:ascii="Times New Roman" w:hAnsi="Times New Roman"/>
          <w:sz w:val="28"/>
          <w:szCs w:val="28"/>
        </w:rPr>
        <w:t>По - сумма ожидаемых платежей в бюджет сельского поселения  в текущем году;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- прогнозируемая сумма взыскания дебиторской задолженности по договорам найма на очередной финансовый год.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 Доходы от оказания платных услуг (работ) и компенсации затрат муниципального бюджета, доходы от продажи материальных и нематериальных активов, 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поселений, </w:t>
      </w:r>
      <w:r>
        <w:rPr>
          <w:rFonts w:cs="Times New Roman" w:ascii="Times New Roman" w:hAnsi="Times New Roman"/>
          <w:sz w:val="28"/>
          <w:szCs w:val="28"/>
        </w:rPr>
        <w:t xml:space="preserve">штрафы, санкции, возмещение ущерба, прочие неналоговые доходы, прочие безвозмездные поступления,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лет, возврат остатков субсидий, субвенций и иных межбюджетных трансфертов, имеющих целевое назначение, прошлых лет.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Поступления по вышеуказанным группам доходов не прогнозируются в связи со сложностью прогнозирования сумм, подлежащих зачислению в бюджет сельского  поселения, ввиду несистематичности и непредсказуемости объема их поступления.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исполнения бюджета сельского поселения, при внесении изменений в утвержденные параметры бюджета,  устанавливаются  плановые назначения с учетом сумм фактического поступления.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Прогноз безвозмездных поступлений осуществляется в соответствии с объемом расходов, предусмотренных на указанные цели проектом краевого закона о бюджете Краснодарского края и решением Совета муниципального образования Кавказский район на очередной финансовый год  для предоставления  бюджету сельского поселения.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О.Г.Мясищева</w:t>
      </w:r>
      <w:r>
        <w:rPr/>
        <w:t xml:space="preserve">            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510" w:top="993" w:footer="0" w:bottom="993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6814881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19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9">
    <w:name w:val="Heading 9"/>
    <w:basedOn w:val="Normal"/>
    <w:link w:val="90"/>
    <w:qFormat/>
    <w:rsid w:val="00c139ff"/>
    <w:pPr>
      <w:keepNext/>
      <w:spacing w:lineRule="auto" w:line="240" w:before="0" w:after="0"/>
      <w:jc w:val="center"/>
      <w:outlineLvl w:val="8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a0" w:customStyle="1">
    <w:name w:val="pt-a0"/>
    <w:basedOn w:val="DefaultParagraphFont"/>
    <w:qFormat/>
    <w:rsid w:val="00b44d30"/>
    <w:rPr>
      <w:rFonts w:ascii="Times New Roman" w:hAnsi="Times New Roman" w:cs="Times New Roman"/>
      <w:b w:val="false"/>
      <w:bCs w:val="false"/>
      <w:i w:val="false"/>
      <w:iCs w:val="false"/>
      <w:sz w:val="28"/>
      <w:szCs w:val="28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7343a6"/>
    <w:rPr>
      <w:rFonts w:ascii="Tahoma" w:hAnsi="Tahoma" w:cs="Tahoma"/>
      <w:sz w:val="16"/>
      <w:szCs w:val="16"/>
    </w:rPr>
  </w:style>
  <w:style w:type="character" w:styleId="91" w:customStyle="1">
    <w:name w:val="Заголовок 9 Знак"/>
    <w:basedOn w:val="DefaultParagraphFont"/>
    <w:link w:val="9"/>
    <w:qFormat/>
    <w:rsid w:val="00c139f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c139f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c722d7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1a35e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1a35e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1a35ec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sz w:val="20"/>
      <w:szCs w:val="20"/>
      <w:lang w:val="ru-RU" w:eastAsia="ru-RU" w:bidi="ar-SA"/>
    </w:rPr>
  </w:style>
  <w:style w:type="paragraph" w:styleId="Pta" w:customStyle="1">
    <w:name w:val="pt-a"/>
    <w:basedOn w:val="Normal"/>
    <w:qFormat/>
    <w:rsid w:val="00b44d30"/>
    <w:pPr>
      <w:spacing w:before="0" w:after="0"/>
      <w:ind w:firstLine="85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8b4699"/>
    <w:pPr>
      <w:spacing w:before="0" w:after="200"/>
      <w:ind w:left="720" w:hanging="0"/>
      <w:contextualSpacing/>
    </w:pPr>
    <w:rPr/>
  </w:style>
  <w:style w:type="paragraph" w:styleId="ConsPlusJurTerm" w:customStyle="1">
    <w:name w:val="ConsPlusJurTerm"/>
    <w:qFormat/>
    <w:rsid w:val="0079016a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343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Header"/>
    <w:basedOn w:val="Normal"/>
    <w:link w:val="a8"/>
    <w:uiPriority w:val="99"/>
    <w:rsid w:val="00c139ff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2">
    <w:name w:val="Footer"/>
    <w:basedOn w:val="Normal"/>
    <w:link w:val="aa"/>
    <w:uiPriority w:val="99"/>
    <w:unhideWhenUsed/>
    <w:rsid w:val="00c722d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43f5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4d3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10B2-3CC6-4247-8027-52BAE2EF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Application>LibreOffice/5.2.2.2$Windows_x86 LibreOffice_project/8f96e87c890bf8fa77463cd4b640a2312823f3ad</Application>
  <Pages>5</Pages>
  <Words>1057</Words>
  <Characters>7594</Characters>
  <CharactersWithSpaces>9457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2016-08-10T13:23:00Z</dcterms:created>
  <dc:creator>Перепечай А.П.</dc:creator>
  <dc:description/>
  <dc:language>ru-RU</dc:language>
  <cp:lastModifiedBy/>
  <cp:lastPrinted>2016-10-13T08:52:16Z</cp:lastPrinted>
  <dcterms:modified xsi:type="dcterms:W3CDTF">2016-10-17T16:46:21Z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