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</w:t>
      </w:r>
      <w:r/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УТВЕРЖДЕНА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постановлением администрации                                                       </w:t>
      </w:r>
      <w:r/>
    </w:p>
    <w:p>
      <w:pPr>
        <w:pStyle w:val="Normal"/>
        <w:spacing w:lineRule="auto" w:line="240" w:before="0" w:after="0"/>
        <w:ind w:firstLine="5529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 xml:space="preserve">Кавказского сельского  </w:t>
      </w:r>
      <w:r/>
    </w:p>
    <w:p>
      <w:pPr>
        <w:pStyle w:val="Normal"/>
        <w:spacing w:lineRule="auto" w:line="240" w:before="0" w:after="0"/>
        <w:ind w:firstLine="5529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поселения Кавказского района</w:t>
      </w:r>
      <w:r/>
    </w:p>
    <w:p>
      <w:pPr>
        <w:pStyle w:val="Normal"/>
        <w:spacing w:lineRule="auto" w:line="240" w:before="0" w:after="0"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_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04.08.2016        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  <w:u w:val="single"/>
        </w:rPr>
        <w:t>382_</w:t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Normal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p>
      <w:pPr>
        <w:pStyle w:val="ConsPlusTitle"/>
        <w:jc w:val="center"/>
        <w:rPr>
          <w:sz w:val="28"/>
          <w:sz w:val="28"/>
          <w:szCs w:val="28"/>
          <w:rFonts w:ascii="Times New Roman" w:hAnsi="Times New Roman" w:cs="Times New Roman"/>
        </w:rPr>
      </w:pPr>
      <w:bookmarkStart w:id="0" w:name="P33"/>
      <w:bookmarkEnd w:id="0"/>
      <w:r>
        <w:rPr>
          <w:rFonts w:cs="Times New Roman" w:ascii="Times New Roman" w:hAnsi="Times New Roman"/>
          <w:sz w:val="28"/>
          <w:szCs w:val="28"/>
        </w:rPr>
        <w:t>МЕТОДИКА</w:t>
      </w:r>
      <w:r/>
    </w:p>
    <w:p>
      <w:pPr>
        <w:pStyle w:val="ConsPlusTitle"/>
        <w:jc w:val="center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прогнозирования поступлений по источникам финансирования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дефицита бюджета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Кавказского сельского поселения Кавказского района, 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главным администратором которых является</w:t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Кавказского сельского поселения  Кавказского района</w:t>
      </w:r>
      <w:r/>
    </w:p>
    <w:p>
      <w:pPr>
        <w:pStyle w:val="ConsPlusTitle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ConsPlusTitle"/>
        <w:jc w:val="center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708"/>
        <w:jc w:val="both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1. Настоящая Методика прогнозирования поступлений по источникам финансирования дефицита бюджета Кавказского сельского поселения Кавказского района,  главным администратором, которых является администрация Кавказского сельского поселения  Кавказского района (далее – Методика) определяет порядок расчета прогноза поступлений по источникам финансирования дефицита бюджета Кавказского сельского поселения Кавказского района,  главным администратором, которых является администрация Кавказского сельского поселения  Кавказского района (далее – администрация).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2. Перечень поступлений по источникам финансирования дефицита местного бюджета, в отношении которых администрация выполняет бюджетные полномочия главного администратора источников финансирования дефицита местного бюджета:</w:t>
      </w:r>
      <w:r/>
    </w:p>
    <w:p>
      <w:pPr>
        <w:pStyle w:val="ConsPlusTitle"/>
        <w:ind w:firstLine="709"/>
        <w:jc w:val="both"/>
        <w:rPr>
          <w:sz w:val="16"/>
          <w:b w:val="false"/>
          <w:sz w:val="16"/>
          <w:b w:val="false"/>
          <w:szCs w:val="16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16"/>
          <w:szCs w:val="16"/>
        </w:rPr>
      </w:r>
      <w:r/>
    </w:p>
    <w:tbl>
      <w:tblPr>
        <w:tblStyle w:val="a3"/>
        <w:tblW w:w="973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5993"/>
      </w:tblGrid>
      <w:tr>
        <w:trPr/>
        <w:tc>
          <w:tcPr>
            <w:tcW w:w="37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Pta"/>
              <w:spacing w:lineRule="auto" w:line="240" w:before="0" w:after="0"/>
              <w:ind w:hanging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 источников финансирования дефицита местного бюджета</w:t>
            </w:r>
            <w:r/>
          </w:p>
        </w:tc>
        <w:tc>
          <w:tcPr>
            <w:tcW w:w="59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Pta"/>
              <w:spacing w:lineRule="auto" w:line="240" w:before="0" w:after="0"/>
              <w:ind w:hanging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/>
          </w:p>
        </w:tc>
      </w:tr>
    </w:tbl>
    <w:p>
      <w:pPr>
        <w:pStyle w:val="ConsPlusTitle"/>
        <w:ind w:firstLine="709"/>
        <w:jc w:val="both"/>
        <w:rPr>
          <w:sz w:val="4"/>
          <w:b w:val="false"/>
          <w:sz w:val="4"/>
          <w:b w:val="false"/>
          <w:szCs w:val="4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4"/>
          <w:szCs w:val="4"/>
        </w:rPr>
      </w:r>
      <w:r/>
    </w:p>
    <w:tbl>
      <w:tblPr>
        <w:tblStyle w:val="a3"/>
        <w:tblW w:w="9737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5993"/>
      </w:tblGrid>
      <w:tr>
        <w:trPr>
          <w:tblHeader w:val="true"/>
        </w:trPr>
        <w:tc>
          <w:tcPr>
            <w:tcW w:w="37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Pta"/>
              <w:spacing w:lineRule="auto" w:line="240" w:before="0" w:after="0"/>
              <w:ind w:hanging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/>
          </w:p>
        </w:tc>
        <w:tc>
          <w:tcPr>
            <w:tcW w:w="599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Pta"/>
              <w:spacing w:lineRule="auto" w:line="240" w:before="0" w:after="0"/>
              <w:ind w:hanging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/>
          </w:p>
        </w:tc>
      </w:tr>
      <w:tr>
        <w:trPr/>
        <w:tc>
          <w:tcPr>
            <w:tcW w:w="37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Pta"/>
              <w:spacing w:lineRule="auto" w:line="240" w:before="0" w:after="0"/>
              <w:ind w:hanging="0"/>
              <w:jc w:val="center"/>
              <w:rPr>
                <w:i/>
                <w:i/>
              </w:rPr>
            </w:pPr>
            <w:r>
              <w:rPr>
                <w:sz w:val="24"/>
                <w:szCs w:val="24"/>
              </w:rPr>
              <w:t>992 01 02 00 00 10 0000 710</w:t>
            </w:r>
            <w:r/>
          </w:p>
        </w:tc>
        <w:tc>
          <w:tcPr>
            <w:tcW w:w="5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  <w:r/>
          </w:p>
        </w:tc>
      </w:tr>
      <w:tr>
        <w:trPr/>
        <w:tc>
          <w:tcPr>
            <w:tcW w:w="374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Pta"/>
              <w:spacing w:lineRule="auto" w:line="240" w:before="0" w:after="0"/>
              <w:ind w:hanging="0"/>
              <w:jc w:val="center"/>
              <w:rPr>
                <w:sz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992 01 03 01 00 10 0000 710</w:t>
            </w:r>
            <w:r/>
          </w:p>
        </w:tc>
        <w:tc>
          <w:tcPr>
            <w:tcW w:w="5993" w:type="dxa"/>
            <w:tcBorders/>
            <w:shd w:fill="auto" w:val="clear"/>
            <w:tcMar>
              <w:left w:w="108" w:type="dxa"/>
            </w:tcMar>
          </w:tcPr>
          <w:p>
            <w:pPr>
              <w:pStyle w:val="ConsPlusNormal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  <w:r/>
          </w:p>
        </w:tc>
      </w:tr>
    </w:tbl>
    <w:p>
      <w:pPr>
        <w:pStyle w:val="ConsPlusTitle"/>
        <w:ind w:firstLine="709"/>
        <w:jc w:val="both"/>
        <w:rPr>
          <w:sz w:val="16"/>
          <w:b w:val="false"/>
          <w:sz w:val="16"/>
          <w:b w:val="false"/>
          <w:szCs w:val="16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16"/>
          <w:szCs w:val="16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 Расчет прогноза поступлений по источникам финансирования дефицита местного бюджета, главным администратором которых является администрация, осуществляется в следующем порядке:</w:t>
      </w:r>
      <w:r/>
    </w:p>
    <w:p>
      <w:pPr>
        <w:sectPr>
          <w:headerReference w:type="default" r:id="rId2"/>
          <w:type w:val="nextPage"/>
          <w:pgSz w:w="11906" w:h="16838"/>
          <w:pgMar w:left="1701" w:right="567" w:header="510" w:top="993" w:footer="0" w:bottom="993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3.1. Получение кредитов от кредитных организаций бюджетами сельских поселений в валюте Российской Федерации: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а) используется метод прямого счета;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б) при расчете прогнозного объема поступлений учитываются: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прогнозируемый объем дефицита (профицита) местного бюджета и (или) объем муниципальных заимствований Кавказского сельского поселения Кавказского района, подлежащих погашению, в соответствующем финансовом году;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конъюнктура рынка кредитования;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действующие муниципальные контракты о получении кредитов от кредитных организаций;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планируемые к заключению муниципальные контракты о получении кредитов от кредитных организаций;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оценка влияния проводимых заимствований на муниципальный долг Кавказского сельского поселения Кавказского района;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в) формула расчета:</w:t>
      </w:r>
      <w:r/>
    </w:p>
    <w:p>
      <w:pPr>
        <w:pStyle w:val="ConsPlusTitle"/>
        <w:ind w:firstLine="709"/>
        <w:jc w:val="both"/>
        <w:rPr>
          <w:sz w:val="20"/>
          <w:b w:val="false"/>
          <w:sz w:val="20"/>
          <w:b w:val="false"/>
          <w:szCs w:val="20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20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Пк = Опз + Од(-Оп) – Ии, где:</w:t>
      </w:r>
      <w:r/>
    </w:p>
    <w:p>
      <w:pPr>
        <w:pStyle w:val="ConsPlusTitle"/>
        <w:ind w:firstLine="709"/>
        <w:jc w:val="both"/>
        <w:rPr>
          <w:sz w:val="20"/>
          <w:b w:val="false"/>
          <w:sz w:val="20"/>
          <w:b w:val="false"/>
          <w:szCs w:val="20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20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Пк – прогнозируемый объем поступлений кредитов от кредитных организаций в соответствующем финансовом году;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Опз – объем муниципальных заимствований Кавказского сельского поселения Кавказского района, подлежащих погашению в соответствующем финансовом году;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Од (Оп) – прогнозируемый объем дефицита (профицита) местного бюджета в соответствующем финансовом году;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Ии – прогнозируемый суммарный объем иных источников внутреннего финансирования дефицита местного бюджета в соответствующем финансовом году</w:t>
      </w:r>
      <w:r>
        <w:rPr>
          <w:rStyle w:val="Pta0"/>
          <w:b w:val="false"/>
          <w:i/>
        </w:rPr>
        <w:t>.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 расчет объема поступлений от коммерческих заимствований в соответствующем финансовом году не включаются объемы возможных оборотов по банковским кредитам в форме возобновляемых кредитных линий, по которым объем привлечения равен объему погашения в течение соответствующего финансового года.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3.2. Получение кредитов от других бюджетов бюджетной системы Российской Федерации бюджетами сельских поселений в валюте Российской Федерации: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а) используется метод прямого счета;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б) при расчете прогнозного объема поступлений учитываются: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действующие соглашения о получении бюджетных кредитов;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планируемые к заключению соглашения о получении бюджетных кредитов, в том числе из краевого  и районного бюджетов в соответствии с решениями в части распределения бюджетных кредитов муниципальным образованиям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в соответствующем финансовом году;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оценка влияния проводимых заимствований на муниципальный долг Кавказского сельского поселения Кавказского района;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в) формула расчета:</w:t>
      </w:r>
      <w:r/>
    </w:p>
    <w:p>
      <w:pPr>
        <w:pStyle w:val="ConsPlusTitle"/>
        <w:ind w:firstLine="709"/>
        <w:jc w:val="both"/>
        <w:rPr>
          <w:sz w:val="10"/>
          <w:b w:val="false"/>
          <w:sz w:val="10"/>
          <w:b w:val="false"/>
          <w:szCs w:val="10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10"/>
          <w:szCs w:val="10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Пб = Ол + Об, где:</w:t>
      </w:r>
      <w:r/>
    </w:p>
    <w:p>
      <w:pPr>
        <w:pStyle w:val="ConsPlusTitle"/>
        <w:ind w:firstLine="709"/>
        <w:jc w:val="both"/>
        <w:rPr>
          <w:sz w:val="10"/>
          <w:b w:val="false"/>
          <w:sz w:val="10"/>
          <w:b w:val="false"/>
          <w:szCs w:val="10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10"/>
          <w:szCs w:val="10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Пб – прогнозируемый объем поступлений бюджетных кредитов в соответствующем финансовом году;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Ол – прогнозируемый объем бюджетного кредита на пополнение остатков средств на счетах бюджетов субъектов Российской Федерации (местных бюджетов) в очередном финансовом году;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Об – прогнозируемый объем бюджетного кредита из бюджетов других уровней в соответствующем финансовом году.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Прогнозируемый объем бюджетного кредита на пополнение остатков средств на счетах бюджетов субъектов Российской Федерации (местных бюджетов) в очередном финансовом году рассчитывается по следующей формуле:</w:t>
      </w:r>
      <w:r/>
    </w:p>
    <w:p>
      <w:pPr>
        <w:pStyle w:val="ConsPlusTitle"/>
        <w:ind w:firstLine="709"/>
        <w:jc w:val="both"/>
        <w:rPr>
          <w:sz w:val="16"/>
          <w:b w:val="false"/>
          <w:sz w:val="16"/>
          <w:b w:val="false"/>
          <w:szCs w:val="16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16"/>
          <w:szCs w:val="16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Ол = (Дкб – Сб – Св – Имтб)/12, где:</w:t>
      </w:r>
      <w:r/>
    </w:p>
    <w:p>
      <w:pPr>
        <w:pStyle w:val="ConsPlusTitle"/>
        <w:ind w:firstLine="709"/>
        <w:jc w:val="both"/>
        <w:rPr>
          <w:sz w:val="16"/>
          <w:b w:val="false"/>
          <w:sz w:val="16"/>
          <w:b w:val="false"/>
          <w:szCs w:val="16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16"/>
          <w:szCs w:val="16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Дкб – прогнозируемый общий объем доходов местного бюджета на очередной финансовый год;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Сб – прогнозируемый объем поступлений субсидий из краевого бюджета на очередной финансовый год; 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Св – прогнозируемый объем поступлений субвенций из краевого бюджета на очередной финансовый год; 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Имтб – прогнозируемый объем поступлений иных межбюджетных трансфертов, имеющих целевое назначение, из бюджетов других уровней на очередной финансовый год.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Рассчитанный прогноз объема поступлений бюджетного кредита на пополнение остатков средств на счетах бюджетов субъектов Российской Федерации (местных бюджетов)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в очередном финансовом году может уточняться исходя из прогноз</w:t>
      </w:r>
      <w:bookmarkStart w:id="1" w:name="_GoBack"/>
      <w:bookmarkEnd w:id="1"/>
      <w:r>
        <w:rPr>
          <w:rFonts w:cs="Times New Roman" w:ascii="Times New Roman" w:hAnsi="Times New Roman"/>
          <w:b w:val="false"/>
          <w:sz w:val="28"/>
          <w:szCs w:val="28"/>
        </w:rPr>
        <w:t>ируемой оценки недостаточности на едином счете бюджета денежных средств, необходимых для осуществления кассовых выплат из бюджета.</w:t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  <w:r/>
    </w:p>
    <w:p>
      <w:pPr>
        <w:pStyle w:val="ConsPlusTitle"/>
        <w:ind w:firstLine="709"/>
        <w:jc w:val="both"/>
        <w:rPr>
          <w:sz w:val="28"/>
          <w:b w:val="false"/>
          <w:sz w:val="28"/>
          <w:b w:val="false"/>
          <w:szCs w:val="28"/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  <w:r/>
    </w:p>
    <w:p>
      <w:pPr>
        <w:pStyle w:val="ConsPlusTitle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Глава Кавказского сельского</w:t>
      </w:r>
      <w:r/>
    </w:p>
    <w:p>
      <w:pPr>
        <w:pStyle w:val="ConsPlusTitle"/>
        <w:jc w:val="both"/>
        <w:rPr>
          <w:sz w:val="28"/>
          <w:b w:val="false"/>
          <w:sz w:val="28"/>
          <w:b w:val="false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поселения Кавказского района                                                     О.Г. Мясищева</w:t>
      </w:r>
      <w:r/>
    </w:p>
    <w:p>
      <w:pPr>
        <w:pStyle w:val="ConsPlusNormal"/>
        <w:ind w:firstLine="709"/>
        <w:jc w:val="both"/>
        <w:rPr>
          <w:szCs w:val="20"/>
          <w:rFonts w:ascii="Calibri" w:hAnsi="Calibri" w:eastAsia="Times New Roman" w:cs="Calibri"/>
          <w:lang w:eastAsia="ru-RU"/>
        </w:rPr>
      </w:pPr>
      <w:r>
        <w:rPr/>
      </w:r>
      <w:r/>
    </w:p>
    <w:sectPr>
      <w:headerReference w:type="default" r:id="rId3"/>
      <w:type w:val="nextPage"/>
      <w:pgSz w:w="11906" w:h="16838"/>
      <w:pgMar w:left="1701" w:right="567" w:header="510" w:top="993" w:footer="0" w:bottom="99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Style21"/>
          <w:jc w:val="center"/>
          <w:rPr>
            <w:sz w:val="28"/>
            <w:sz w:val="28"/>
            <w:szCs w:val="28"/>
          </w:rPr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/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"/>
      </w:docPartObj>
    </w:sdtPr>
    <w:sdtContent>
      <w:p>
        <w:pPr>
          <w:pStyle w:val="Style21"/>
          <w:jc w:val="center"/>
          <w:rPr>
            <w:sz w:val="28"/>
            <w:sz w:val="28"/>
            <w:szCs w:val="28"/>
          </w:rPr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  <w:r/>
      </w:p>
    </w:sdtContent>
  </w:sdt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9">
    <w:name w:val="Заголовок 9"/>
    <w:basedOn w:val="Normal"/>
    <w:link w:val="90"/>
    <w:qFormat/>
    <w:rsid w:val="00c139ff"/>
    <w:pPr>
      <w:keepNext/>
      <w:spacing w:lineRule="auto" w:line="240" w:before="0" w:after="0"/>
      <w:jc w:val="center"/>
      <w:outlineLvl w:val="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ta0" w:customStyle="1">
    <w:name w:val="pt-a0"/>
    <w:basedOn w:val="DefaultParagraphFont"/>
    <w:rsid w:val="00b44d30"/>
    <w:rPr>
      <w:rFonts w:ascii="Times New Roman" w:hAnsi="Times New Roman" w:cs="Times New Roman"/>
      <w:b w:val="false"/>
      <w:bCs w:val="false"/>
      <w:i w:val="false"/>
      <w:iCs w:val="false"/>
      <w:sz w:val="28"/>
      <w:szCs w:val="28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rsid w:val="007343a6"/>
    <w:rPr>
      <w:rFonts w:ascii="Tahoma" w:hAnsi="Tahoma" w:cs="Tahoma"/>
      <w:sz w:val="16"/>
      <w:szCs w:val="16"/>
    </w:rPr>
  </w:style>
  <w:style w:type="character" w:styleId="91" w:customStyle="1">
    <w:name w:val="Заголовок 9 Знак"/>
    <w:basedOn w:val="DefaultParagraphFont"/>
    <w:link w:val="9"/>
    <w:rsid w:val="00c139ff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 w:customStyle="1">
    <w:name w:val="Верхний колонтитул Знак"/>
    <w:basedOn w:val="DefaultParagraphFont"/>
    <w:link w:val="a7"/>
    <w:uiPriority w:val="99"/>
    <w:rsid w:val="00c139f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9"/>
    <w:uiPriority w:val="99"/>
    <w:rsid w:val="00c722d7"/>
    <w:rPr/>
  </w:style>
  <w:style w:type="paragraph" w:styleId="Style16">
    <w:name w:val="Заголовок"/>
    <w:basedOn w:val="Normal"/>
    <w:next w:val="Style17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pPr>
      <w:suppressLineNumbers/>
    </w:pPr>
    <w:rPr>
      <w:rFonts w:cs="Mangal"/>
    </w:rPr>
  </w:style>
  <w:style w:type="paragraph" w:styleId="ConsPlusNormal" w:customStyle="1">
    <w:name w:val="ConsPlusNormal"/>
    <w:rsid w:val="001a35e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0"/>
      <w:lang w:eastAsia="ru-RU" w:val="ru-RU" w:bidi="ar-SA"/>
    </w:rPr>
  </w:style>
  <w:style w:type="paragraph" w:styleId="ConsPlusTitle" w:customStyle="1">
    <w:name w:val="ConsPlusTitle"/>
    <w:rsid w:val="001a35e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sz w:val="22"/>
      <w:szCs w:val="20"/>
      <w:lang w:eastAsia="ru-RU" w:val="ru-RU" w:bidi="ar-SA"/>
    </w:rPr>
  </w:style>
  <w:style w:type="paragraph" w:styleId="ConsPlusTitlePage" w:customStyle="1">
    <w:name w:val="ConsPlusTitlePage"/>
    <w:rsid w:val="001a35ec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Pta" w:customStyle="1">
    <w:name w:val="pt-a"/>
    <w:basedOn w:val="Normal"/>
    <w:rsid w:val="00b44d30"/>
    <w:pPr>
      <w:spacing w:before="0" w:after="0"/>
      <w:ind w:firstLine="85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34"/>
    <w:qFormat/>
    <w:rsid w:val="008b4699"/>
    <w:pPr>
      <w:spacing w:before="0" w:after="200"/>
      <w:ind w:left="720" w:hanging="0"/>
      <w:contextualSpacing/>
    </w:pPr>
    <w:rPr/>
  </w:style>
  <w:style w:type="paragraph" w:styleId="ConsPlusJurTerm" w:customStyle="1">
    <w:name w:val="ConsPlusJurTerm"/>
    <w:rsid w:val="0079016a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6"/>
    <w:uiPriority w:val="99"/>
    <w:semiHidden/>
    <w:unhideWhenUsed/>
    <w:rsid w:val="007343a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ерхний колонтитул"/>
    <w:basedOn w:val="Normal"/>
    <w:link w:val="a8"/>
    <w:uiPriority w:val="99"/>
    <w:rsid w:val="00c139ff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2">
    <w:name w:val="Нижний колонтитул"/>
    <w:basedOn w:val="Normal"/>
    <w:link w:val="aa"/>
    <w:uiPriority w:val="99"/>
    <w:unhideWhenUsed/>
    <w:rsid w:val="00c722d7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44d30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Application>LibreOffice/4.3.5.2$Windows_x86 LibreOffice_project/3a87456aaa6a95c63eea1c1b3201acedf0751bd5</Application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2016-08-04T14:05:00Z</dcterms:created>
  <dc:creator>Перепечай А.П.</dc:creator>
  <dc:language>ru-RU</dc:language>
  <cp:lastPrinted>2016-08-04T14:38:00Z</cp:lastPrinted>
  <dcterms:modified xsi:type="dcterms:W3CDTF">2016-08-05T17:59:04Z</dcterms:modified>
  <cp:revision>13</cp:revision>
</cp:coreProperties>
</file>