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</w:pPr>
      <w:r>
        <w:rPr>
          <w:b/>
          <w:bCs/>
          <w:sz w:val="28"/>
          <w:szCs w:val="28"/>
        </w:rPr>
        <w:t>АДМИНИСТРАЦИЯ  КАВКАЗСКОГО  СЕЛЬСКОГО  ПОСЕЛЕНИЯ</w:t>
      </w:r>
      <w:r/>
    </w:p>
    <w:p>
      <w:pPr>
        <w:pStyle w:val="Normal"/>
        <w:spacing w:before="0" w:after="0"/>
        <w:contextualSpacing/>
        <w:jc w:val="center"/>
      </w:pPr>
      <w:r>
        <w:rPr>
          <w:rFonts w:eastAsia="Times New Roman" w:cs="Times New Roman"/>
          <w:b/>
          <w:bCs/>
          <w:color w:val="00000A"/>
          <w:sz w:val="28"/>
          <w:szCs w:val="28"/>
          <w:lang w:eastAsia="ar-SA"/>
        </w:rPr>
        <w:t>КАВКАЗСКОГО  РАЙОНА</w:t>
      </w:r>
      <w:r/>
    </w:p>
    <w:p>
      <w:pPr>
        <w:pStyle w:val="Normal"/>
        <w:spacing w:before="0" w:after="0"/>
        <w:contextualSpacing/>
        <w:jc w:val="center"/>
      </w:pPr>
      <w:r>
        <w:rPr>
          <w:rFonts w:eastAsia="Times New Roman" w:cs="Times New Roman"/>
          <w:b/>
          <w:bCs/>
          <w:color w:val="00000A"/>
          <w:sz w:val="28"/>
          <w:szCs w:val="28"/>
          <w:lang w:eastAsia="ar-SA"/>
        </w:rPr>
        <w:t>П О С Т А Н О В Л Е Н И Е</w:t>
      </w:r>
      <w:r/>
    </w:p>
    <w:p>
      <w:pPr>
        <w:pStyle w:val="Normal"/>
        <w:spacing w:before="0" w:after="0"/>
        <w:contextualSpacing/>
        <w:jc w:val="center"/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eastAsia="ar-SA"/>
        </w:rPr>
        <w:t>от 15.12.2015                                                                                                    №69</w:t>
      </w: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eastAsia="ar-SA"/>
        </w:rPr>
        <w:t>6</w:t>
      </w:r>
      <w:r/>
    </w:p>
    <w:p>
      <w:pPr>
        <w:pStyle w:val="Normal"/>
        <w:spacing w:before="0" w:after="0"/>
        <w:contextualSpacing/>
        <w:jc w:val="center"/>
        <w:rPr>
          <w:sz w:val="28"/>
          <w:b w:val="false"/>
          <w:sz w:val="28"/>
          <w:b w:val="false"/>
          <w:szCs w:val="28"/>
          <w:bCs w:val="false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 w:val="false"/>
          <w:bCs w:val="false"/>
          <w:color w:val="00000A"/>
          <w:sz w:val="28"/>
          <w:szCs w:val="28"/>
          <w:lang w:val="ru-RU" w:eastAsia="ar-SA" w:bidi="ar-SA"/>
        </w:rPr>
      </w:r>
      <w:r/>
    </w:p>
    <w:p>
      <w:pPr>
        <w:pStyle w:val="Normal"/>
        <w:jc w:val="center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sz w:val="16"/>
          <w:szCs w:val="16"/>
          <w:lang w:eastAsia="ru-RU"/>
        </w:rPr>
      </w:r>
      <w:r/>
    </w:p>
    <w:p>
      <w:pPr>
        <w:pStyle w:val="Normal"/>
        <w:jc w:val="center"/>
        <w:rPr>
          <w:sz w:val="16"/>
          <w:b/>
          <w:sz w:val="16"/>
          <w:b/>
          <w:szCs w:val="16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sz w:val="16"/>
          <w:szCs w:val="16"/>
          <w:lang w:eastAsia="ru-RU"/>
        </w:rPr>
      </w:r>
      <w:r/>
    </w:p>
    <w:p>
      <w:pPr>
        <w:pStyle w:val="Normal"/>
        <w:jc w:val="center"/>
        <w:rPr>
          <w:sz w:val="28"/>
          <w:spacing w:val="-2"/>
          <w:b/>
          <w:sz w:val="28"/>
          <w:b/>
          <w:szCs w:val="28"/>
          <w:iCs/>
          <w:w w:val="10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iCs/>
          <w:color w:val="000000"/>
          <w:spacing w:val="-2"/>
          <w:w w:val="102"/>
          <w:sz w:val="28"/>
          <w:szCs w:val="28"/>
          <w:lang w:eastAsia="ru-RU"/>
        </w:rPr>
      </w:r>
      <w:r/>
    </w:p>
    <w:p>
      <w:pPr>
        <w:pStyle w:val="Normal"/>
        <w:jc w:val="center"/>
        <w:rPr>
          <w:sz w:val="28"/>
          <w:spacing w:val="-2"/>
          <w:b/>
          <w:sz w:val="28"/>
          <w:b/>
          <w:szCs w:val="28"/>
          <w:iCs/>
          <w:w w:val="10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iCs/>
          <w:color w:val="000000"/>
          <w:spacing w:val="-2"/>
          <w:w w:val="102"/>
          <w:sz w:val="28"/>
          <w:szCs w:val="28"/>
          <w:lang w:eastAsia="ru-RU"/>
        </w:rPr>
      </w:r>
      <w:r/>
    </w:p>
    <w:p>
      <w:pPr>
        <w:pStyle w:val="Normal"/>
        <w:jc w:val="center"/>
        <w:rPr>
          <w:sz w:val="28"/>
          <w:spacing w:val="-2"/>
          <w:b/>
          <w:sz w:val="28"/>
          <w:b/>
          <w:szCs w:val="28"/>
          <w:iCs/>
          <w:w w:val="102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iCs/>
          <w:color w:val="000000"/>
          <w:spacing w:val="-2"/>
          <w:w w:val="102"/>
          <w:sz w:val="28"/>
          <w:szCs w:val="28"/>
          <w:lang w:eastAsia="ru-RU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b/>
          <w:sz w:val="28"/>
          <w:szCs w:val="28"/>
        </w:rPr>
      </w:r>
      <w:r/>
    </w:p>
    <w:p>
      <w:pPr>
        <w:pStyle w:val="Normal"/>
        <w:tabs>
          <w:tab w:val="left" w:pos="8364" w:leader="none"/>
        </w:tabs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</w:r>
      <w:r/>
    </w:p>
    <w:p>
      <w:pPr>
        <w:pStyle w:val="Normal"/>
        <w:tabs>
          <w:tab w:val="left" w:pos="8364" w:leader="none"/>
        </w:tabs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ar-SA" w:bidi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схем торговых мест на ярмарках на территории Кавказского сельского поселения  Кавказского района</w:t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соответствии  с Федеральным законом от 28 декабря 2009 года             № 381–ФЗ «Об основах государственного регулирования торговой деятельности в Российской Федерации», Законом Краснодарского края от          1 марта 2011 года № 2195-КЗ «Об организации деятельности розничных рынков и ярмарок на территории Краснодарского края» и постановления администрации Кавказского сельского поселения Кавказского района от           02</w:t>
      </w:r>
      <w:bookmarkStart w:id="0" w:name="_GoBack"/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декабря 2015 года № 649/1 «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8"/>
          <w:szCs w:val="20"/>
          <w:lang w:val="ru-RU" w:eastAsia="ru-RU" w:bidi="ar-SA"/>
        </w:rPr>
        <w:t>Об организации проведения ярмарок  на территории Кавказского сельского поселения Кавказского района в 2016 году</w:t>
      </w:r>
      <w:r>
        <w:rPr>
          <w:rFonts w:cs="Times New Roman" w:ascii="Times New Roman" w:hAnsi="Times New Roman"/>
          <w:color w:val="000000"/>
          <w:sz w:val="28"/>
          <w:szCs w:val="28"/>
        </w:rPr>
        <w:t>»,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  </w:t>
      </w:r>
      <w:bookmarkEnd w:id="0"/>
      <w:r>
        <w:rPr>
          <w:rFonts w:cs="Times New Roman" w:ascii="Times New Roman" w:hAnsi="Times New Roman"/>
          <w:sz w:val="28"/>
          <w:szCs w:val="28"/>
        </w:rPr>
        <w:t>п о с т а н о в л я ю: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1.Утвердить: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1) схему размещения торговых мест на ярмарке  по адресу: ст.Кавказская, ул.Ленина,164 «в» » на территории Кавказского сельского поселения Кавказского района (приложение №1);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2) схему размещения торговых мест на ярмарке  по адресу: ст.Кавказская, ул.Малиновского,226 «а»  на территории Кавказского сельского поселения Кавказского района (приложение №2).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Постановление администрации Кавказского сельского поселения Кавказского района от 09 июня 2014года №238/1 «</w:t>
      </w:r>
      <w:r>
        <w:rPr>
          <w:rFonts w:cs="Times New Roman" w:ascii="Times New Roman" w:hAnsi="Times New Roman"/>
          <w:sz w:val="28"/>
          <w:szCs w:val="28"/>
        </w:rPr>
        <w:t xml:space="preserve">Об утверждении схем торговых мест на ярмарках на территории Кавказского сельского поселения  Кавказского района»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считать утратившим силу.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специалиста администрации Кавказского сельского поселения Кавказского района – Ю.С.Каморную.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с 01 января 2016 год.</w:t>
      </w:r>
      <w:r/>
    </w:p>
    <w:p>
      <w:pPr>
        <w:pStyle w:val="NoSpacing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  <w:r/>
    </w:p>
    <w:p>
      <w:pPr>
        <w:pStyle w:val="NoSpacing"/>
        <w:jc w:val="both"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О.Г. Мясищева</w:t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523c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rsid w:val="006523c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rsid w:val="006523c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rsid w:val="006523c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rsid w:val="006523c9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23c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2">
    <w:name w:val="Верхний колонтитул"/>
    <w:basedOn w:val="Normal"/>
    <w:link w:val="a7"/>
    <w:uiPriority w:val="99"/>
    <w:unhideWhenUsed/>
    <w:rsid w:val="006523c9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basedOn w:val="Normal"/>
    <w:link w:val="a9"/>
    <w:uiPriority w:val="99"/>
    <w:unhideWhenUsed/>
    <w:rsid w:val="006523c9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LibreOffice/4.3.5.2$Windows_x86 LibreOffice_project/3a87456aaa6a95c63eea1c1b3201acedf0751bd5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2014-12-09T05:47:00Z</dcterms:created>
  <dc:creator>1</dc:creator>
  <dc:language>ru-RU</dc:language>
  <dcterms:modified xsi:type="dcterms:W3CDTF">2015-12-24T09:51:09Z</dcterms:modified>
  <cp:revision>10</cp:revision>
</cp:coreProperties>
</file>