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07" w:rsidRDefault="00117E07" w:rsidP="0097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BAE">
        <w:rPr>
          <w:rFonts w:ascii="Times New Roman" w:hAnsi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/>
          <w:b/>
          <w:sz w:val="28"/>
          <w:szCs w:val="28"/>
        </w:rPr>
        <w:t xml:space="preserve">соответствия оказываемых </w:t>
      </w:r>
      <w:r w:rsidRPr="00976BAE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976BAE">
        <w:rPr>
          <w:rFonts w:ascii="Times New Roman" w:hAnsi="Times New Roman"/>
          <w:b/>
          <w:sz w:val="28"/>
          <w:szCs w:val="28"/>
        </w:rPr>
        <w:t xml:space="preserve"> услуг </w:t>
      </w:r>
      <w:r>
        <w:rPr>
          <w:rFonts w:ascii="Times New Roman" w:hAnsi="Times New Roman"/>
          <w:b/>
          <w:sz w:val="28"/>
          <w:szCs w:val="28"/>
        </w:rPr>
        <w:t>с</w:t>
      </w:r>
      <w:r w:rsidRPr="00976BAE">
        <w:rPr>
          <w:rFonts w:ascii="Times New Roman" w:hAnsi="Times New Roman"/>
          <w:b/>
          <w:sz w:val="28"/>
          <w:szCs w:val="28"/>
        </w:rPr>
        <w:t>тандарт</w:t>
      </w:r>
      <w:r>
        <w:rPr>
          <w:rFonts w:ascii="Times New Roman" w:hAnsi="Times New Roman"/>
          <w:b/>
          <w:sz w:val="28"/>
          <w:szCs w:val="28"/>
        </w:rPr>
        <w:t>ам</w:t>
      </w:r>
      <w:r w:rsidRPr="00976BAE">
        <w:rPr>
          <w:rFonts w:ascii="Times New Roman" w:hAnsi="Times New Roman"/>
          <w:b/>
          <w:sz w:val="28"/>
          <w:szCs w:val="28"/>
        </w:rPr>
        <w:t xml:space="preserve"> муниципальной услуги за </w:t>
      </w:r>
      <w:r>
        <w:rPr>
          <w:rFonts w:ascii="Times New Roman" w:hAnsi="Times New Roman"/>
          <w:b/>
          <w:sz w:val="28"/>
          <w:szCs w:val="28"/>
        </w:rPr>
        <w:t>1 квартал 2013 года</w:t>
      </w:r>
    </w:p>
    <w:p w:rsidR="00117E07" w:rsidRDefault="00117E07" w:rsidP="0097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E07" w:rsidRPr="00976BAE" w:rsidRDefault="00117E07" w:rsidP="00976B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Муниципальная услуга по организации досуга и обеспечение жителей поселения услугами культуры – деятельность муниципального бюджетного учреждения культуры ДК «СКЦ» Кавказского сельского поселения Кавказского района, осуществляемая в пределах ее компетенции и ответственности, финансируемая за счет муниципального бюджета и направленная на удовлетворение потребностей муниципальной услуги. Получатели муниципальной услуги – юридические и физические лица.</w:t>
      </w:r>
    </w:p>
    <w:p w:rsidR="00117E07" w:rsidRPr="00976BAE" w:rsidRDefault="00117E07" w:rsidP="0097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BAE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  <w:r>
        <w:rPr>
          <w:rFonts w:ascii="Times New Roman" w:hAnsi="Times New Roman"/>
          <w:sz w:val="28"/>
          <w:szCs w:val="28"/>
        </w:rPr>
        <w:t xml:space="preserve">ДК </w:t>
      </w:r>
      <w:r w:rsidRPr="00976B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СКЦ</w:t>
      </w:r>
      <w:r w:rsidRPr="00976B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действует на основании Устава,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от </w:t>
      </w:r>
      <w:r>
        <w:rPr>
          <w:rFonts w:ascii="Times New Roman" w:hAnsi="Times New Roman"/>
          <w:sz w:val="28"/>
          <w:szCs w:val="28"/>
        </w:rPr>
        <w:t>26 мая</w:t>
      </w:r>
      <w:r w:rsidRPr="00976BA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</w:t>
      </w:r>
      <w:r w:rsidRPr="00976BAE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146</w:t>
      </w:r>
      <w:r w:rsidRPr="00976BAE">
        <w:rPr>
          <w:rFonts w:ascii="Times New Roman" w:hAnsi="Times New Roman"/>
          <w:sz w:val="28"/>
          <w:szCs w:val="28"/>
        </w:rPr>
        <w:t>.</w:t>
      </w:r>
    </w:p>
    <w:p w:rsidR="00117E07" w:rsidRDefault="00117E07" w:rsidP="00976B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6BAE">
        <w:rPr>
          <w:rFonts w:ascii="Times New Roman" w:hAnsi="Times New Roman"/>
          <w:sz w:val="28"/>
          <w:szCs w:val="28"/>
        </w:rPr>
        <w:t xml:space="preserve">В процессе осуществления своей деятельности </w:t>
      </w:r>
      <w:r>
        <w:rPr>
          <w:rFonts w:ascii="Times New Roman" w:hAnsi="Times New Roman"/>
          <w:sz w:val="28"/>
          <w:szCs w:val="28"/>
        </w:rPr>
        <w:t>м</w:t>
      </w:r>
      <w:r w:rsidRPr="00976BAE">
        <w:rPr>
          <w:rFonts w:ascii="Times New Roman" w:hAnsi="Times New Roman"/>
          <w:sz w:val="28"/>
          <w:szCs w:val="28"/>
        </w:rPr>
        <w:t>униципальное бюджетное учреждение культуры</w:t>
      </w:r>
      <w:r>
        <w:rPr>
          <w:rFonts w:ascii="Times New Roman" w:hAnsi="Times New Roman"/>
          <w:sz w:val="28"/>
          <w:szCs w:val="28"/>
        </w:rPr>
        <w:t xml:space="preserve"> ДК</w:t>
      </w:r>
      <w:r w:rsidRPr="00976BA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СКЦ</w:t>
      </w:r>
      <w:r w:rsidRPr="00976BA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976BAE">
        <w:rPr>
          <w:rFonts w:ascii="Times New Roman" w:hAnsi="Times New Roman"/>
          <w:sz w:val="28"/>
          <w:szCs w:val="28"/>
        </w:rPr>
        <w:t xml:space="preserve"> сельского поселения Кавказского района руководствуется действующим законодательством, инструктивными документами, Уставом и Положениями.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Место оказания услуги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BF7">
        <w:rPr>
          <w:rFonts w:ascii="Times New Roman" w:hAnsi="Times New Roman"/>
          <w:sz w:val="28"/>
          <w:szCs w:val="28"/>
        </w:rPr>
        <w:t xml:space="preserve">Краснодарский край, Кавказский район, </w:t>
      </w:r>
      <w:r>
        <w:rPr>
          <w:rFonts w:ascii="Times New Roman" w:hAnsi="Times New Roman"/>
          <w:sz w:val="28"/>
          <w:szCs w:val="28"/>
        </w:rPr>
        <w:t>станица Кавказская</w:t>
      </w:r>
      <w:r w:rsidRPr="00C67BF7">
        <w:rPr>
          <w:rFonts w:ascii="Times New Roman" w:hAnsi="Times New Roman"/>
          <w:sz w:val="28"/>
          <w:szCs w:val="28"/>
        </w:rPr>
        <w:t xml:space="preserve">, улица Ленина, </w:t>
      </w:r>
      <w:r>
        <w:rPr>
          <w:rFonts w:ascii="Times New Roman" w:hAnsi="Times New Roman"/>
          <w:sz w:val="28"/>
          <w:szCs w:val="28"/>
        </w:rPr>
        <w:t>158.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График оказ</w:t>
      </w:r>
      <w:r>
        <w:rPr>
          <w:rFonts w:ascii="Times New Roman" w:hAnsi="Times New Roman"/>
          <w:sz w:val="28"/>
          <w:szCs w:val="28"/>
        </w:rPr>
        <w:t>ания услуги – рабочее время с 09</w:t>
      </w:r>
      <w:r w:rsidRPr="00C67BF7">
        <w:rPr>
          <w:rFonts w:ascii="Times New Roman" w:hAnsi="Times New Roman"/>
          <w:sz w:val="28"/>
          <w:szCs w:val="28"/>
        </w:rPr>
        <w:t>-00 часов до 1</w:t>
      </w:r>
      <w:r>
        <w:rPr>
          <w:rFonts w:ascii="Times New Roman" w:hAnsi="Times New Roman"/>
          <w:sz w:val="28"/>
          <w:szCs w:val="28"/>
        </w:rPr>
        <w:t>8</w:t>
      </w:r>
      <w:r w:rsidRPr="00C67BF7">
        <w:rPr>
          <w:rFonts w:ascii="Times New Roman" w:hAnsi="Times New Roman"/>
          <w:sz w:val="28"/>
          <w:szCs w:val="28"/>
        </w:rPr>
        <w:t xml:space="preserve">-00 часов по </w:t>
      </w:r>
      <w:r>
        <w:rPr>
          <w:rFonts w:ascii="Times New Roman" w:hAnsi="Times New Roman"/>
          <w:sz w:val="28"/>
          <w:szCs w:val="28"/>
        </w:rPr>
        <w:t>шестидневной рабочей неделе, выходной понедельник.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Материально-техническое оснащение места предоставления услуги 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C67BF7">
        <w:rPr>
          <w:rFonts w:ascii="Times New Roman" w:hAnsi="Times New Roman"/>
          <w:sz w:val="28"/>
          <w:szCs w:val="28"/>
        </w:rPr>
        <w:t xml:space="preserve"> требованиям охраны труда, государственным нормативам и условиям, предусмотренным трудовым договором.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Помещение обеспечено средствами коммунально-бытового обслуживания, отвеча</w:t>
      </w:r>
      <w:r>
        <w:rPr>
          <w:rFonts w:ascii="Times New Roman" w:hAnsi="Times New Roman"/>
          <w:sz w:val="28"/>
          <w:szCs w:val="28"/>
        </w:rPr>
        <w:t>ет</w:t>
      </w:r>
      <w:r w:rsidRPr="00C67BF7">
        <w:rPr>
          <w:rFonts w:ascii="Times New Roman" w:hAnsi="Times New Roman"/>
          <w:sz w:val="28"/>
          <w:szCs w:val="28"/>
        </w:rPr>
        <w:t xml:space="preserve"> требованиям санитарно-гигиенических норм и правил, правил пожарной безопасности, безопасности труда.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>В помещении предоставления муниципальной услуги на видном месте размещаются средства пожаротушения и схемы путей эвакуации людей.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Рабочие места специалистов </w:t>
      </w:r>
      <w:r>
        <w:rPr>
          <w:rFonts w:ascii="Times New Roman" w:hAnsi="Times New Roman"/>
          <w:sz w:val="28"/>
          <w:szCs w:val="28"/>
        </w:rPr>
        <w:t>м</w:t>
      </w:r>
      <w:r w:rsidRPr="00C67BF7">
        <w:rPr>
          <w:rFonts w:ascii="Times New Roman" w:hAnsi="Times New Roman"/>
          <w:sz w:val="28"/>
          <w:szCs w:val="28"/>
        </w:rPr>
        <w:t>униципального бюджетного учреждения культуры</w:t>
      </w:r>
      <w:r>
        <w:rPr>
          <w:rFonts w:ascii="Times New Roman" w:hAnsi="Times New Roman"/>
          <w:sz w:val="28"/>
          <w:szCs w:val="28"/>
        </w:rPr>
        <w:t xml:space="preserve"> ДК</w:t>
      </w:r>
      <w:r w:rsidRPr="00C67BF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СКЦ</w:t>
      </w:r>
      <w:r w:rsidRPr="00C67B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C67BF7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обеспечен</w:t>
      </w:r>
      <w:r>
        <w:rPr>
          <w:rFonts w:ascii="Times New Roman" w:hAnsi="Times New Roman"/>
          <w:sz w:val="28"/>
          <w:szCs w:val="28"/>
        </w:rPr>
        <w:t>о</w:t>
      </w:r>
      <w:r w:rsidRPr="00C67BF7">
        <w:rPr>
          <w:rFonts w:ascii="Times New Roman" w:hAnsi="Times New Roman"/>
          <w:sz w:val="28"/>
          <w:szCs w:val="28"/>
        </w:rPr>
        <w:t xml:space="preserve"> специальным оборудованием и техническими средствами, мебелью, программными продуктами, специальной документацией, расходными материалами, канцелярскими принадлежностями и т.д.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67BF7">
        <w:rPr>
          <w:rFonts w:ascii="Times New Roman" w:hAnsi="Times New Roman"/>
          <w:sz w:val="28"/>
          <w:szCs w:val="28"/>
        </w:rPr>
        <w:t>ехнические средства отвеча</w:t>
      </w:r>
      <w:r>
        <w:rPr>
          <w:rFonts w:ascii="Times New Roman" w:hAnsi="Times New Roman"/>
          <w:sz w:val="28"/>
          <w:szCs w:val="28"/>
        </w:rPr>
        <w:t>ю</w:t>
      </w:r>
      <w:r w:rsidRPr="00C67BF7">
        <w:rPr>
          <w:rFonts w:ascii="Times New Roman" w:hAnsi="Times New Roman"/>
          <w:sz w:val="28"/>
          <w:szCs w:val="28"/>
        </w:rPr>
        <w:t>т требованиям стандартов, технических условий, других нормативных документов и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C67BF7">
        <w:rPr>
          <w:rFonts w:ascii="Times New Roman" w:hAnsi="Times New Roman"/>
          <w:sz w:val="28"/>
          <w:szCs w:val="28"/>
        </w:rPr>
        <w:t xml:space="preserve"> надлежащее качество предоставляемой услуги.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Штатная численность работников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C67BF7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C67BF7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>ДК «СКЦ</w:t>
      </w:r>
      <w:r w:rsidRPr="00C67BF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C67BF7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 xml:space="preserve"> составляет 40 человек</w:t>
      </w:r>
      <w:r w:rsidRPr="00C67BF7">
        <w:rPr>
          <w:rFonts w:ascii="Times New Roman" w:hAnsi="Times New Roman"/>
          <w:sz w:val="28"/>
          <w:szCs w:val="28"/>
        </w:rPr>
        <w:t>.</w:t>
      </w:r>
    </w:p>
    <w:p w:rsidR="00117E07" w:rsidRPr="00C67BF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специалисты имеют среднее - специальное, среднее - техническое, высшее - специальное образование</w:t>
      </w:r>
      <w:r w:rsidRPr="00C67BF7">
        <w:rPr>
          <w:rFonts w:ascii="Times New Roman" w:hAnsi="Times New Roman"/>
          <w:sz w:val="28"/>
          <w:szCs w:val="28"/>
        </w:rPr>
        <w:t>, опыт работы, прохождение курсовой подготовки по мере необходимости.</w:t>
      </w:r>
    </w:p>
    <w:p w:rsidR="00117E0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BF7">
        <w:rPr>
          <w:rFonts w:ascii="Times New Roman" w:hAnsi="Times New Roman"/>
          <w:sz w:val="28"/>
          <w:szCs w:val="28"/>
        </w:rPr>
        <w:t>Лица, отвечающее за качество оказания услуги:</w:t>
      </w:r>
      <w:r w:rsidRPr="00C67BF7">
        <w:rPr>
          <w:rFonts w:ascii="Times New Roman" w:hAnsi="Times New Roman"/>
          <w:b/>
          <w:sz w:val="28"/>
          <w:szCs w:val="28"/>
        </w:rPr>
        <w:t xml:space="preserve"> </w:t>
      </w:r>
      <w:r w:rsidRPr="00C67BF7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>,</w:t>
      </w:r>
      <w:r w:rsidRPr="00C6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культработники.</w:t>
      </w:r>
      <w:proofErr w:type="gramEnd"/>
    </w:p>
    <w:p w:rsidR="00117E0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Информирование получателей муниципальной услуги о порядке ее предоставления осуществляется путем использования средств почтовой, телефонной, электронной связи и при личном контакте с получателем муниципальной услуги, по громко говорящей связи.</w:t>
      </w:r>
    </w:p>
    <w:p w:rsidR="00117E0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80DD2">
        <w:rPr>
          <w:rFonts w:ascii="Times New Roman" w:hAnsi="Times New Roman"/>
          <w:b/>
          <w:sz w:val="28"/>
          <w:szCs w:val="28"/>
        </w:rPr>
        <w:t>Объемы оказания муниципальной услуги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17E07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742"/>
        <w:gridCol w:w="1498"/>
        <w:gridCol w:w="1440"/>
        <w:gridCol w:w="2520"/>
      </w:tblGrid>
      <w:tr w:rsidR="00117E07" w:rsidTr="005F72D4">
        <w:tc>
          <w:tcPr>
            <w:tcW w:w="2448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Наименование показателя муниципальной услуги</w:t>
            </w:r>
          </w:p>
        </w:tc>
        <w:tc>
          <w:tcPr>
            <w:tcW w:w="1742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Единица измерения показателя</w:t>
            </w:r>
            <w:proofErr w:type="gramStart"/>
            <w:r w:rsidRPr="00834405">
              <w:rPr>
                <w:rFonts w:ascii="Times New Roman" w:hAnsi="Times New Roman"/>
                <w:sz w:val="24"/>
                <w:szCs w:val="24"/>
              </w:rPr>
              <w:t xml:space="preserve"> (%, </w:t>
            </w:r>
            <w:proofErr w:type="gramEnd"/>
            <w:r w:rsidRPr="00834405">
              <w:rPr>
                <w:rFonts w:ascii="Times New Roman" w:hAnsi="Times New Roman"/>
                <w:sz w:val="24"/>
                <w:szCs w:val="24"/>
              </w:rPr>
              <w:t>натуральное, стоимостное выражение)</w:t>
            </w:r>
          </w:p>
        </w:tc>
        <w:tc>
          <w:tcPr>
            <w:tcW w:w="1498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Значение показателя, утвержденное в муниципальном задании на отчетный период</w:t>
            </w:r>
          </w:p>
        </w:tc>
        <w:tc>
          <w:tcPr>
            <w:tcW w:w="1440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2520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Оценка выполнения муниципальной услуги</w:t>
            </w:r>
          </w:p>
        </w:tc>
      </w:tr>
      <w:tr w:rsidR="00117E07" w:rsidTr="005F72D4">
        <w:tc>
          <w:tcPr>
            <w:tcW w:w="2448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7E07" w:rsidTr="005F72D4">
        <w:tc>
          <w:tcPr>
            <w:tcW w:w="2448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пользователей</w:t>
            </w:r>
          </w:p>
        </w:tc>
        <w:tc>
          <w:tcPr>
            <w:tcW w:w="1742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498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18030</w:t>
            </w:r>
          </w:p>
        </w:tc>
        <w:tc>
          <w:tcPr>
            <w:tcW w:w="1440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18130</w:t>
            </w:r>
          </w:p>
        </w:tc>
        <w:tc>
          <w:tcPr>
            <w:tcW w:w="2520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Перевыполнение</w:t>
            </w:r>
          </w:p>
        </w:tc>
      </w:tr>
      <w:tr w:rsidR="00117E07" w:rsidTr="005F72D4">
        <w:tc>
          <w:tcPr>
            <w:tcW w:w="2448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1742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498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1551,9</w:t>
            </w:r>
          </w:p>
        </w:tc>
        <w:tc>
          <w:tcPr>
            <w:tcW w:w="1440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1121,3</w:t>
            </w:r>
          </w:p>
        </w:tc>
        <w:tc>
          <w:tcPr>
            <w:tcW w:w="2520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7E07" w:rsidRPr="00B80DD2" w:rsidRDefault="00117E07" w:rsidP="00C67BF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17E07" w:rsidRDefault="00117E07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</w:t>
      </w:r>
      <w:r w:rsidRPr="0010040C">
        <w:rPr>
          <w:rFonts w:ascii="Times New Roman" w:hAnsi="Times New Roman"/>
          <w:b/>
          <w:sz w:val="28"/>
          <w:szCs w:val="28"/>
        </w:rPr>
        <w:t>оценки качества муниципальной услуги:</w:t>
      </w:r>
    </w:p>
    <w:p w:rsidR="00117E07" w:rsidRDefault="00117E07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1566"/>
        <w:gridCol w:w="2007"/>
        <w:gridCol w:w="1652"/>
        <w:gridCol w:w="2121"/>
      </w:tblGrid>
      <w:tr w:rsidR="00117E07" w:rsidTr="007313E4">
        <w:tc>
          <w:tcPr>
            <w:tcW w:w="2569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 и эффективности предоставления муниципальной услуги</w:t>
            </w:r>
          </w:p>
        </w:tc>
        <w:tc>
          <w:tcPr>
            <w:tcW w:w="1505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 xml:space="preserve">Единица измерения показателя </w:t>
            </w:r>
          </w:p>
        </w:tc>
        <w:tc>
          <w:tcPr>
            <w:tcW w:w="2055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Значение показателя, утвержденное в муниципальном задании на отчетный период</w:t>
            </w:r>
          </w:p>
        </w:tc>
        <w:tc>
          <w:tcPr>
            <w:tcW w:w="1690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2035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Оценка выполнения муниципальной услуги</w:t>
            </w:r>
            <w:proofErr w:type="gramStart"/>
            <w:r w:rsidRPr="00834405"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117E07" w:rsidTr="007313E4">
        <w:tc>
          <w:tcPr>
            <w:tcW w:w="2569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2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2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2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2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35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2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17E07" w:rsidTr="007313E4">
        <w:tc>
          <w:tcPr>
            <w:tcW w:w="2569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0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055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690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203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</w:t>
            </w:r>
            <w:r w:rsidRPr="005F72D4">
              <w:rPr>
                <w:rFonts w:ascii="Times New Roman" w:hAnsi="Times New Roman"/>
                <w:sz w:val="28"/>
                <w:szCs w:val="28"/>
              </w:rPr>
              <w:t>ыполнено</w:t>
            </w:r>
          </w:p>
        </w:tc>
      </w:tr>
      <w:tr w:rsidR="00117E07" w:rsidTr="007313E4">
        <w:tc>
          <w:tcPr>
            <w:tcW w:w="2569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Составление сводных годовых планов и отчетов</w:t>
            </w:r>
          </w:p>
        </w:tc>
        <w:tc>
          <w:tcPr>
            <w:tcW w:w="1505" w:type="dxa"/>
          </w:tcPr>
          <w:p w:rsidR="00117E07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117E07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2055" w:type="dxa"/>
          </w:tcPr>
          <w:p w:rsidR="00117E07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7E07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117E07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7E07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2D4">
              <w:rPr>
                <w:rFonts w:ascii="Times New Roman" w:hAnsi="Times New Roman"/>
                <w:sz w:val="28"/>
                <w:szCs w:val="28"/>
              </w:rPr>
              <w:t>Выполнено</w:t>
            </w:r>
          </w:p>
        </w:tc>
      </w:tr>
      <w:tr w:rsidR="00117E07" w:rsidTr="007313E4">
        <w:tc>
          <w:tcPr>
            <w:tcW w:w="2569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культурно - </w:t>
            </w:r>
            <w:proofErr w:type="spellStart"/>
            <w:r w:rsidRPr="00834405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834405"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50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055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690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3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</w:tr>
      <w:tr w:rsidR="00117E07" w:rsidTr="007313E4">
        <w:tc>
          <w:tcPr>
            <w:tcW w:w="2569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Организация любительских клубов и объединений по интересам</w:t>
            </w:r>
          </w:p>
        </w:tc>
        <w:tc>
          <w:tcPr>
            <w:tcW w:w="150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055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0" w:type="dxa"/>
          </w:tcPr>
          <w:p w:rsidR="00117E07" w:rsidRPr="005F72D4" w:rsidRDefault="00117E07" w:rsidP="005F7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3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E07" w:rsidTr="007313E4">
        <w:tc>
          <w:tcPr>
            <w:tcW w:w="2569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Доля методических мероприятий, организованных в отчетном периоде от планового назначения</w:t>
            </w:r>
          </w:p>
        </w:tc>
        <w:tc>
          <w:tcPr>
            <w:tcW w:w="150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5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90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3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17E07" w:rsidTr="007313E4">
        <w:tc>
          <w:tcPr>
            <w:tcW w:w="2569" w:type="dxa"/>
          </w:tcPr>
          <w:p w:rsidR="00117E07" w:rsidRPr="00834405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405">
              <w:rPr>
                <w:rFonts w:ascii="Times New Roman" w:hAnsi="Times New Roman"/>
                <w:sz w:val="24"/>
                <w:szCs w:val="24"/>
              </w:rPr>
              <w:t>Количество обоснованных жалоб, зарегистрированных  в журнале регистрации жалоб</w:t>
            </w:r>
          </w:p>
        </w:tc>
        <w:tc>
          <w:tcPr>
            <w:tcW w:w="150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5" w:type="dxa"/>
          </w:tcPr>
          <w:p w:rsidR="00117E07" w:rsidRPr="005F72D4" w:rsidRDefault="00117E07" w:rsidP="005F7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17E07" w:rsidRDefault="00117E07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17E07" w:rsidRPr="0010040C" w:rsidRDefault="00117E07" w:rsidP="001004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17E07" w:rsidRPr="0010040C" w:rsidRDefault="00117E07" w:rsidP="001004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040C">
        <w:rPr>
          <w:rFonts w:ascii="Times New Roman" w:hAnsi="Times New Roman"/>
          <w:sz w:val="28"/>
          <w:szCs w:val="28"/>
        </w:rPr>
        <w:t xml:space="preserve"> </w:t>
      </w:r>
    </w:p>
    <w:p w:rsidR="00117E07" w:rsidRPr="008B3E57" w:rsidRDefault="00117E07" w:rsidP="0000780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E57">
        <w:rPr>
          <w:rFonts w:ascii="Times New Roman" w:hAnsi="Times New Roman"/>
          <w:sz w:val="28"/>
          <w:szCs w:val="28"/>
        </w:rPr>
        <w:t>Жалоб на предоставление муниципальной услуги «</w:t>
      </w:r>
      <w:r>
        <w:rPr>
          <w:rFonts w:ascii="Times New Roman" w:hAnsi="Times New Roman"/>
          <w:sz w:val="28"/>
          <w:szCs w:val="28"/>
        </w:rPr>
        <w:t>Организация библиотечного обслуживания населения</w:t>
      </w:r>
      <w:r w:rsidRPr="008B3E57">
        <w:rPr>
          <w:rFonts w:ascii="Times New Roman" w:hAnsi="Times New Roman"/>
          <w:sz w:val="28"/>
          <w:szCs w:val="28"/>
        </w:rPr>
        <w:t xml:space="preserve">» не поступало. Выявление нарушений не было. </w:t>
      </w:r>
      <w:proofErr w:type="gramStart"/>
      <w:r w:rsidRPr="008B3E57">
        <w:rPr>
          <w:rFonts w:ascii="Times New Roman" w:hAnsi="Times New Roman"/>
          <w:sz w:val="28"/>
          <w:szCs w:val="28"/>
        </w:rPr>
        <w:t>Контроль соблюдения последовательности действий, определенных административными процедурами  по исполнению муниципальной услуги, осуществляется должностным лицом муниципального бюджетного учреждения культуры</w:t>
      </w:r>
      <w:r>
        <w:rPr>
          <w:rFonts w:ascii="Times New Roman" w:hAnsi="Times New Roman"/>
          <w:sz w:val="28"/>
          <w:szCs w:val="28"/>
        </w:rPr>
        <w:t xml:space="preserve"> ДК </w:t>
      </w:r>
      <w:r w:rsidRPr="008B3E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СКЦ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8B3E57">
        <w:rPr>
          <w:rFonts w:ascii="Times New Roman" w:hAnsi="Times New Roman"/>
          <w:sz w:val="28"/>
          <w:szCs w:val="28"/>
        </w:rPr>
        <w:t xml:space="preserve"> сельского поселения Кавказского района, ответственным за организацию по исполнению муниципальной услуги.</w:t>
      </w:r>
      <w:proofErr w:type="gramEnd"/>
      <w:r w:rsidRPr="008B3E57">
        <w:rPr>
          <w:rFonts w:ascii="Times New Roman" w:hAnsi="Times New Roman"/>
          <w:sz w:val="28"/>
          <w:szCs w:val="28"/>
        </w:rPr>
        <w:t xml:space="preserve"> Внутренний контроль  осуществляется руководителем проверок соблюдения и исполнения специалистами МБУК </w:t>
      </w:r>
      <w:r>
        <w:rPr>
          <w:rFonts w:ascii="Times New Roman" w:hAnsi="Times New Roman"/>
          <w:sz w:val="28"/>
          <w:szCs w:val="28"/>
        </w:rPr>
        <w:t>ДК «СК</w:t>
      </w:r>
      <w:r w:rsidRPr="008B3E57">
        <w:rPr>
          <w:rFonts w:ascii="Times New Roman" w:hAnsi="Times New Roman"/>
          <w:sz w:val="28"/>
          <w:szCs w:val="28"/>
        </w:rPr>
        <w:t xml:space="preserve">Ц» </w:t>
      </w:r>
      <w:r>
        <w:rPr>
          <w:rFonts w:ascii="Times New Roman" w:hAnsi="Times New Roman"/>
          <w:sz w:val="28"/>
          <w:szCs w:val="28"/>
        </w:rPr>
        <w:t xml:space="preserve">Кавказского </w:t>
      </w:r>
      <w:r w:rsidRPr="008B3E57">
        <w:rPr>
          <w:rFonts w:ascii="Times New Roman" w:hAnsi="Times New Roman"/>
          <w:sz w:val="28"/>
          <w:szCs w:val="28"/>
        </w:rPr>
        <w:t>сельского поселения Кавказского района положений Административного регламента, иных нормативно-правовых актов РФ, Краснодарского края, муниципального образования Кавказского района. Порядок внешнего контроля по исполнению муниципальной услуги МБУК</w:t>
      </w:r>
      <w:r>
        <w:rPr>
          <w:rFonts w:ascii="Times New Roman" w:hAnsi="Times New Roman"/>
          <w:sz w:val="28"/>
          <w:szCs w:val="28"/>
        </w:rPr>
        <w:t xml:space="preserve"> ДК</w:t>
      </w:r>
      <w:r w:rsidRPr="008B3E5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СКЦ</w:t>
      </w:r>
      <w:r w:rsidRPr="008B3E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Кавказского</w:t>
      </w:r>
      <w:r w:rsidRPr="008B3E57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включает в себя проведение проверок, выявление и устранение нарушений при исполнении муниципальной услуги и оформляются акты проверок. Периодичность контрольных мероприятий по исполнению муниципальной услуги осуществляются 1 раз в месяц или по мере необходимости, т.е. в случае поступления жалоб от потребителей (поступление жалоб не было), требование контрольных, надзорных, правоохранительных органов. Производится документальная проверка, делается опрос, обследование помещений соответствия требованиям охраны труда и санитарно-гигиеническим нормам.</w:t>
      </w:r>
    </w:p>
    <w:p w:rsidR="00117E07" w:rsidRDefault="00117E07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E07" w:rsidRDefault="00117E07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E07" w:rsidRDefault="00117E07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E07" w:rsidRDefault="00117E07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E07" w:rsidRDefault="00117E07" w:rsidP="00C67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17E07" w:rsidSect="007313E4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BAE"/>
    <w:rsid w:val="0000780A"/>
    <w:rsid w:val="0001221C"/>
    <w:rsid w:val="00045FB3"/>
    <w:rsid w:val="000A71E6"/>
    <w:rsid w:val="000E0229"/>
    <w:rsid w:val="0010040C"/>
    <w:rsid w:val="00117E07"/>
    <w:rsid w:val="00201DA3"/>
    <w:rsid w:val="002C1895"/>
    <w:rsid w:val="00577A4A"/>
    <w:rsid w:val="00592C66"/>
    <w:rsid w:val="005F72D4"/>
    <w:rsid w:val="006C4F97"/>
    <w:rsid w:val="007133EF"/>
    <w:rsid w:val="00714830"/>
    <w:rsid w:val="007313E4"/>
    <w:rsid w:val="00766345"/>
    <w:rsid w:val="00834405"/>
    <w:rsid w:val="008B3E57"/>
    <w:rsid w:val="008F1472"/>
    <w:rsid w:val="00976BAE"/>
    <w:rsid w:val="00987399"/>
    <w:rsid w:val="00994A9E"/>
    <w:rsid w:val="009B1CD9"/>
    <w:rsid w:val="009C0FC3"/>
    <w:rsid w:val="009D369B"/>
    <w:rsid w:val="00B27E7C"/>
    <w:rsid w:val="00B3441E"/>
    <w:rsid w:val="00B80DD2"/>
    <w:rsid w:val="00C61656"/>
    <w:rsid w:val="00C67BF7"/>
    <w:rsid w:val="00DA0901"/>
    <w:rsid w:val="00E2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80DD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C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133E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620</Words>
  <Characters>5012</Characters>
  <Application>Microsoft Office Word</Application>
  <DocSecurity>0</DocSecurity>
  <Lines>41</Lines>
  <Paragraphs>11</Paragraphs>
  <ScaleCrop>false</ScaleCrop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13</cp:revision>
  <cp:lastPrinted>2013-02-05T07:10:00Z</cp:lastPrinted>
  <dcterms:created xsi:type="dcterms:W3CDTF">2013-02-04T17:24:00Z</dcterms:created>
  <dcterms:modified xsi:type="dcterms:W3CDTF">2013-05-28T09:35:00Z</dcterms:modified>
</cp:coreProperties>
</file>