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АКТ № 3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плана финансово-хозяйственной деятельности  муниципального бюджетного  учреждения культуры   </w:t>
      </w:r>
      <w:bookmarkStart w:id="0" w:name="__DdeLink__669_1793826929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«Центр кино и досуга «Космос»»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Кавказского сельского поселения Кавказского района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 1 января 2017 года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по 31 декабря 2017 года</w:t>
      </w:r>
    </w:p>
    <w:p>
      <w:pPr>
        <w:pStyle w:val="Normal"/>
        <w:widowControl w:val="false"/>
        <w:tabs>
          <w:tab w:val="left" w:pos="805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805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6"/>
        <w:gridCol w:w="4927"/>
      </w:tblGrid>
      <w:tr>
        <w:trPr/>
        <w:tc>
          <w:tcPr>
            <w:tcW w:w="49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8050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28 июня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2018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8050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ст. Кавказская</w:t>
            </w:r>
          </w:p>
          <w:p>
            <w:pPr>
              <w:pStyle w:val="Normal"/>
              <w:widowControl w:val="false"/>
              <w:tabs>
                <w:tab w:val="left" w:pos="805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Мною, специалистом 1 категории администрации Кавказского сельского поселения Кавказского района, Рябининой О.В., согласно распоряжения администрации Кавказского сельского поселения Кавказского района от                     23 декабря 2016 года № 81-р «О назначении должностного лица, ответственного за осуществление внутреннего  муниципального финансового контроля в администрации Кавказского сельского поселения Кавказского района», на основании плана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администрации Кавказского сельского поселения Кавказского района на 2018 год от 19 декабря 2017 года в присутствии начальника муниципального казенного учреждения «Централизованная бухгалтерия культуры» Кавказского сельского поселения Кавказского района произведена проверка  плана финансово-хозяйственной деятельности  муниципального бюджетного  учреждения культуры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«Центр кино и досуга «Космос»»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Период проведения проверки : с 07.05.2018 года по 28.05.2018 года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Проверяемый период: с 01.01.2017 года по 31.12.2017 года</w:t>
      </w:r>
    </w:p>
    <w:p>
      <w:pPr>
        <w:pStyle w:val="Normal"/>
        <w:widowControl w:val="false"/>
        <w:suppressAutoHyphens w:val="true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Тема проверки: </w:t>
      </w:r>
      <w:r>
        <w:rPr>
          <w:rFonts w:cs="Times New Roman" w:ascii="Times New Roman" w:hAnsi="Times New Roman"/>
          <w:bCs/>
          <w:sz w:val="28"/>
          <w:szCs w:val="28"/>
        </w:rPr>
        <w:t xml:space="preserve">«проверка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плана финансово-хозяйственной деятельности  муниципального бюджетного  учреждения культуры </w:t>
      </w:r>
      <w:bookmarkStart w:id="1" w:name="__DdeLink__1163_2021729127"/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«Центр кино и досуга «Космос»»</w:t>
      </w:r>
      <w:bookmarkEnd w:id="1"/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Кавказского сельского поселения Кавказского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»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Проверкой установлено 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проверяемой организации: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Муниципальное бюджетное  учреждение культуры «Центр кино и досуга «Космос»» Кавказского сельского поселения Кавказского района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» (сокращенное наименование: МБУК  «ЦКиД «Космос»» Кавказского сельского поселения), является подведомственным муниципальным бюджетным учреждением администрации Кавказского сельского поселения Кавказского района.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Юридический адрес: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352140 Краснодарский край, Кавказский район, ст.Кавказская, ул.Ленина, 183.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ИНН2332015741  КПП233201001  ОГРН 1022303882590.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Бубенкова Татьяна Николаевна назначена 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иректором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МБУК «ЦКиД «Космос»» Кавказского сельского поселения распоряжением администрации Кавказского сельского  поселения Кавказского района от 10.01.2006 года                №15-рк и</w:t>
      </w:r>
      <w:r>
        <w:rPr>
          <w:rFonts w:cs="Times New Roman" w:ascii="Times New Roman" w:hAnsi="Times New Roman"/>
          <w:sz w:val="28"/>
          <w:szCs w:val="28"/>
        </w:rPr>
        <w:t xml:space="preserve"> наделена правом первой подписи  на финансовых и расчетных документах.</w:t>
      </w:r>
    </w:p>
    <w:p>
      <w:pPr>
        <w:pStyle w:val="Normal"/>
        <w:suppressAutoHyphens w:val="true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Финансовое обеспечение деятельности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МБУК «ЦКиД «Космос»»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за счет средств бюджета Кавказского сельского поселения Кавказского района  на основании бюджетной сметы 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плана финансово-хозяйственной деятельности  муниципального бюджетного  учреждения культуры «Центр кино и досуга «Космос»» Кавказского сельского поселения Кавказского района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shd w:fill="FFFFFF" w:val="clear"/>
        </w:rPr>
        <w:tab/>
      </w:r>
      <w:bookmarkStart w:id="2" w:name="__DdeLink__1412_434622644"/>
      <w:r>
        <w:rPr>
          <w:color w:val="000000"/>
          <w:sz w:val="28"/>
          <w:szCs w:val="28"/>
          <w:shd w:fill="FFFFFF" w:val="clear"/>
        </w:rPr>
        <w:t>Постановлением  администрации Кавказского сельского поселения Кавказского района  от</w:t>
      </w:r>
      <w:bookmarkEnd w:id="2"/>
      <w:r>
        <w:rPr>
          <w:color w:val="000000"/>
          <w:sz w:val="28"/>
          <w:szCs w:val="28"/>
          <w:shd w:fill="FFFFFF" w:val="clear"/>
        </w:rPr>
        <w:t xml:space="preserve"> 07.12.2016 года №572 определен Порядок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 в соответствии с которым утвержден  План финансово-хозяйственной деятельности муниципального бюджетного учреждения культуры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>«Центр кино и досуга «Космос»»</w:t>
      </w:r>
      <w:r>
        <w:rPr>
          <w:color w:val="000000"/>
          <w:sz w:val="28"/>
          <w:szCs w:val="28"/>
          <w:shd w:fill="FFFFFF" w:val="clear"/>
        </w:rPr>
        <w:t>» Кавказского сельского поселения Кавказского района на 2017 год постановлением  администрации Кавказского сельского поселения Кавказского района  от 13 декабря 2016  года №584.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  <w:t xml:space="preserve">На  2017 год заключены соглашения о предоставлении субсидии на выплату  компенсации расходов на оплату жилых помещений, отопление и освещения работникам муниципальных учреждений, проживающим и работающим в сельской местности, о предоставлении в 2017 году 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Федерации, о предоставлении субсидии на финансовое обеспечение муниципального задания на оказание муниципальных услуг между   </w:t>
      </w:r>
      <w:r>
        <w:rPr>
          <w:color w:val="000000"/>
          <w:sz w:val="28"/>
          <w:szCs w:val="28"/>
          <w:highlight w:val="white"/>
          <w:shd w:fill="FFFFFF" w:val="clear"/>
        </w:rPr>
        <w:t xml:space="preserve">администрацией Кавказского сельского поселения Кавказского района и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МБУК  «ЦКиД «Космос»» Кавказского сельского поселения. В  приложениях к соглашениям оформлены графики перечисления субсидии. Субсидии на финансовое обеспечение выполнения муниципального задания перечислялись в соответствии с графиком.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  <w:t xml:space="preserve">Отчеты об исполнении учреждением плана его финансово-хозяйственной  деятельности за 1 квартал, 2 квартал, 3 квартал и за 2017 год </w:t>
      </w:r>
      <w:r>
        <w:rPr>
          <w:color w:val="000000"/>
          <w:sz w:val="28"/>
          <w:szCs w:val="28"/>
          <w:highlight w:val="white"/>
          <w:shd w:fill="FFFFFF" w:val="clear"/>
        </w:rPr>
        <w:t>сданы своевременно.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Источниками формирования имущества и финансовых ресурсов по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МБУК  «ЦКиД «Космос»» Кавказского сельского поселения является: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имущество, закрепленное на праве оперативного управления;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бюджетные поступления в виде субсидий на выполнение муниципального задания;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средства от оказания платных услуг (выполнения работ) на платной основе и от приносящей доход деятельности.</w:t>
      </w:r>
    </w:p>
    <w:p>
      <w:pPr>
        <w:pStyle w:val="NormalWeb"/>
        <w:numPr>
          <w:ilvl w:val="0"/>
          <w:numId w:val="0"/>
        </w:numPr>
        <w:shd w:val="clear" w:color="auto" w:fill="FFFFFF"/>
        <w:suppressAutoHyphens w:val="true"/>
        <w:bidi w:val="0"/>
        <w:spacing w:beforeAutospacing="0" w:before="0" w:afterAutospacing="0" w:after="0"/>
        <w:ind w:left="1080" w:hanging="0"/>
        <w:jc w:val="lef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color w:val="000000"/>
          <w:sz w:val="28"/>
          <w:szCs w:val="28"/>
          <w:shd w:fill="FFFFFF" w:val="clear"/>
        </w:rPr>
        <w:t>В табличной части ПФХД указаны показатели финансового состояния учреждения (данные о нефинасовых и финансовых активах, обязательствах на последнюю отчетную дату, предшествующую дате составления ПФХД) в следующем разрезе: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Нефинансовые активы, всего: из них: общая балансовая стоимость недвижимого имущества, в том числе, закрепленного собственником имущества за муниципальным учреждением на праве оперативного управления; стоимость имущества, приобретенного муниципальным учреждением за счет выделенных собственником имущества учреждения средств; стоимость имущества, приобретенного муниципальным учреждением за счет доходов, полученных от платной  и иной приносящей доход деятельности; остаточная стоимость недвижимого имущества.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Финансовые активы, всего: из них: денежные средства учреждения, всего; иные финансовые инструменты; дебиторская задолженность, всего:.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Обязательства, всего: из них: долговые обязательства; кредиторская задолженность, всего.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Плановые показатели ПФХД по поступлениям и выплатам учреждения формируются в разрезе: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</w:t>
      </w:r>
      <w:r>
        <w:rPr>
          <w:color w:val="000000"/>
          <w:sz w:val="28"/>
          <w:szCs w:val="28"/>
          <w:u w:val="none"/>
          <w:shd w:fill="FFFFFF" w:val="clear"/>
        </w:rPr>
        <w:t xml:space="preserve"> поступления, всего в том числе: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>- субсидии на выполнение муниципального задания;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>- целевые субсидии;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>- поступления от иной приносящей доход деятельности, всего: в том числе доходы от оказания платных услуг учреждением;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/>
          <w:b/>
          <w:bCs/>
          <w:color w:val="000000"/>
          <w:sz w:val="28"/>
          <w:szCs w:val="28"/>
          <w:highlight w:val="white"/>
          <w:u w:val="none"/>
        </w:rPr>
      </w:pPr>
      <w:r>
        <w:rPr>
          <w:b/>
          <w:bCs/>
          <w:color w:val="000000"/>
          <w:sz w:val="28"/>
          <w:szCs w:val="28"/>
          <w:highlight w:val="white"/>
          <w:u w:val="non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 xml:space="preserve">Выплаты (субсидии на выполнение муниципального задания) всего: 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 xml:space="preserve">в том числе: оплата труда и начисления на выплаты по оплате труда,  </w:t>
      </w:r>
      <w:r>
        <w:rPr>
          <w:b w:val="false"/>
          <w:bCs w:val="false"/>
          <w:color w:val="000000"/>
          <w:sz w:val="28"/>
          <w:szCs w:val="28"/>
          <w:highlight w:val="white"/>
          <w:u w:val="none"/>
        </w:rPr>
        <w:t>о предоставлении субсидии на выплату  компенсации расходов на оплату жилых помещений, отопление и освещения работникам муниципальных учреждений, проживающим и работающим в сельской местности.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 w:val="false"/>
          <w:b w:val="false"/>
          <w:bCs w:val="false"/>
          <w:color w:val="000000"/>
          <w:sz w:val="28"/>
          <w:szCs w:val="28"/>
          <w:highlight w:val="darkGreen"/>
          <w:u w:val="none"/>
        </w:rPr>
      </w:pPr>
      <w:r>
        <w:rPr>
          <w:b w:val="false"/>
          <w:bCs w:val="false"/>
          <w:color w:val="000000"/>
          <w:sz w:val="28"/>
          <w:szCs w:val="28"/>
          <w:highlight w:val="darkGreen"/>
          <w:u w:val="non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 xml:space="preserve">Выплаты (целевые субсидии), всего: 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>в том  числе: оплата труда  и начисления на выплаты по оплате труда, оплата работ и услуг, услуги связи, коммунальные услуги, работы и услуги по содержанию имущества, прочие работы и услуги, прочие расходы, поступление нефинансовых активов, увеличение стоимости основных средств и материальных запасов.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/>
          <w:b/>
          <w:bCs/>
          <w:color w:val="000000"/>
          <w:sz w:val="28"/>
          <w:szCs w:val="28"/>
          <w:highlight w:val="white"/>
          <w:u w:val="none"/>
        </w:rPr>
      </w:pPr>
      <w:r>
        <w:rPr>
          <w:b/>
          <w:bCs/>
          <w:color w:val="000000"/>
          <w:sz w:val="28"/>
          <w:szCs w:val="28"/>
          <w:highlight w:val="white"/>
          <w:u w:val="non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/>
          <w:b/>
          <w:bCs/>
        </w:rPr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>Выплаты (поступления от иной приносящей доход деятельности), всего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>: в том числе: оплата труда  и начисления на выплаты по оплате труда, оплата работ и услуг, услуги связи, коммунальные услуги, работы и услуги по содержанию имущества, прочие работы и услуги, прочие расходы, поступление нефинансовых активов, увеличение стоимости основных средств и материальных запасов.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color w:val="000000"/>
          <w:sz w:val="28"/>
          <w:szCs w:val="28"/>
          <w:highlight w:val="white"/>
          <w:shd w:fill="FFFFFF" w:val="clear"/>
        </w:rPr>
        <w:t xml:space="preserve">ПФХД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</w:t>
      </w:r>
      <w:r>
        <w:rPr>
          <w:rFonts w:eastAsia="Times New Roman" w:cs="Times New Roman"/>
          <w:bCs/>
          <w:color w:val="000000"/>
          <w:sz w:val="28"/>
          <w:szCs w:val="28"/>
        </w:rPr>
        <w:t>БУК «ЦКиД «Космос»»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Кавказского сельского поселения от 13.12.2016 года (в редакции от 29.12.2017 года)  утвержден в разрезе показателей: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по поступлениям на общую сумму 15 249 576,96 рублей, в том числе: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- субсидии на выполнения муниципального задания — 4 503 591,00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-  субсидии на иные цели — 25 985,96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- собственные доходы учреждения — 10 720 000,00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При проверке обоснованности расчетов сметных назначений связанных с оказанием учреждением муниципальных услуг, установлено: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КОСГУ 211 «Заработная плата»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Источник финансирования оплаты труда — субсидия на финансовое обеспечения выполнения муниципального задания. Оплата труда работников складывается из  учета общего их труда. А именно: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должностные оклады;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компенсационная выплата за работу в сельской местности; 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 надбавка за выслугу лет;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надбавка за качество выполнения работ;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- повышающий коэффициент к окладу;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выплаты стимулирующего характера.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</w:rPr>
        <w:t xml:space="preserve">Согласно штатному расписанию, утвержденному приказом 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МБУК  «ЦКиД «Космос»» Кавказского сельского поселения от 31.01.2017г. №42-п, месячный фонд оплаты труда утвержден в сумме 145431,59 руб., от 15.11.2017 года №214-п, месячный фонд оплаты труда утвержден в сумме 9750,00 руб.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</w:t>
        <w:tab/>
      </w:r>
      <w:r>
        <w:rPr>
          <w:rFonts w:eastAsia="Times New Roman" w:cs="Times New Roman"/>
          <w:bCs/>
          <w:color w:val="000000"/>
          <w:sz w:val="28"/>
          <w:szCs w:val="28"/>
        </w:rPr>
        <w:t>Всего на 2017 год ФОТ составляет 5 588 845,94 рублей. Утверждено по ПФХД  5 588 845,94  рублей.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color w:val="000000"/>
          <w:sz w:val="28"/>
          <w:szCs w:val="28"/>
          <w:highlight w:val="white"/>
        </w:rPr>
        <w:tab/>
        <w:t>КОСГУ 340 «Увеличение стоимости материальных запасов»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highlight w:val="white"/>
        </w:rPr>
        <w:tab/>
        <w:t>Итого по статье 1 373 778,84 рублей. Утверждено по ПФХД 1 373 778,84 рублей.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При проверке обоснованности расчетов сметных назначений по предпринимательской  и иной приносящей доход  деятельности, установлено: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212 «Прочие выплаты»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 xml:space="preserve">Выплаты по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>компенсации расходов на оплату жилых помещений, отопление и освещения работникам муниципальных учреждений, проживающим и работающим в сельской местности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25985,96 рублей.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Выплаты по командировочным расходам 3000,00 рублей.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Прочие выплаты  208,06 рублей.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Итого по статье 29194,02 рублей. Утверждено по ПФХД 29194,02 рублей.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>КОСГУ 213 «Начисления на выплаты по оплате труда»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Итого по статье </w:t>
      </w:r>
      <w:r>
        <w:rPr>
          <w:rFonts w:eastAsia="Times New Roman" w:cs="Times New Roman"/>
          <w:bCs/>
          <w:color w:val="000000"/>
          <w:sz w:val="28"/>
          <w:szCs w:val="28"/>
        </w:rPr>
        <w:t>1 291 505,94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 рублей. Утверждено по ПФХД  </w:t>
      </w:r>
      <w:r>
        <w:rPr>
          <w:rFonts w:eastAsia="Times New Roman" w:cs="Times New Roman"/>
          <w:bCs/>
          <w:color w:val="000000"/>
          <w:sz w:val="28"/>
          <w:szCs w:val="28"/>
        </w:rPr>
        <w:t>1 291 505,94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</w:rPr>
        <w:t xml:space="preserve">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221 «Услуги связи»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78315,91 рублей. Утверждено по ПФХД 78315,91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223 «Коммунальные услуги»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684481,11 рублей. Утверждено по ПФХД 684481,11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225 «Работы и услуги по содержанию имущества»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1 007 790,80 рублей. Утверждено по ПФХД 1 007 790,80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226 «Прочие работы и услуги»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6 070 251,55 рублей. Утверждено по ПФХД 6 070 251,55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290 «Прочие расходы»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122125,35 рублей. Утверждено по ПФХД 122125,35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340 «Увеличение стоимости материальных  запасов»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1 373 778,84 рублей. Утверждено по ПФХД 1 373 778,84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Установлено что расчеты сметных назначений обоснованы в полном объеме, расхождений в расчетах (обоснованиях) и ПФХД не установлены.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fill="FFFFFF" w:val="clear"/>
        </w:rPr>
        <w:t>Результат проверки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В ходе проведенной проверки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 xml:space="preserve">плана финансово-хозяйственной деятельности  муниципального бюджетного  учреждения культуры  «Центр кино и досуга «Космос»» Кавказского сельского поселения Кавказского района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с 1 января 2017 года по 31 декабря 2017 года установлено следующее: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при определении правильности ведения расчетов и расходования средств при осуществлении финансово-хозяйственной деятельности  МБУК «ЦКиД «Космос»» Кавказского сельского поселения, нарушений не установлено.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Расчеты (обоснования) к планам </w:t>
      </w:r>
      <w:bookmarkStart w:id="3" w:name="__DdeLink__3546_885809588"/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финансово-хозяйственной деятельности</w:t>
      </w:r>
      <w:bookmarkEnd w:id="3"/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предоставляются постоянно по мере поступления документов на внесение изменений.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Расчеты (обоснование) к планам  финансово-хозяйственной деятельности обоснованы и сформированы с учетом нормативных затрат, определенных в соответствии с утвержденным порядком определения расчетно-нормативных затрат на оказание муниципальных услуг и содержание их имущества.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sz w:val="28"/>
          <w:szCs w:val="28"/>
          <w:highlight w:val="white"/>
        </w:rPr>
        <w:tab/>
        <w:t>При предоставлении М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БУК «ЦКиД «Космос»» Кавказского сельского поселения </w:t>
      </w:r>
      <w:r>
        <w:rPr>
          <w:rFonts w:eastAsia="Times New Roman" w:cs="Times New Roman"/>
          <w:bCs/>
          <w:sz w:val="28"/>
          <w:szCs w:val="28"/>
          <w:highlight w:val="white"/>
        </w:rPr>
        <w:t xml:space="preserve"> субсидий на выполнение муниципального задания и на иные цели, МКУ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«ЦБК» Кавказского сельского поселения составляет и предоставляет «Отчет об исполнении учреждением плана его финансово -хозяйственной деятельности» (форма 0503737).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Формы ПФХД составлены в соответствии с  Порядком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района, утвержденным постановлением администрации Кавказского сельского поселения Кавказского района  от 07.12.2016 года №572.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Специалист 1 категории администрации 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Кавказского сельского поселения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Кавказского района                                                                                О.В.Рябинина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Акт получен: «___» ____________2018 г.  ______________   _______________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  <w:lang w:eastAsia="ar-SA"/>
        </w:rPr>
        <w:t>Подпись                         ФИО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6199416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8b408e"/>
    <w:pPr>
      <w:keepNext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687c99"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c54ad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4c54ad"/>
    <w:rPr/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4c54ad"/>
    <w:rPr/>
  </w:style>
  <w:style w:type="character" w:styleId="Linenumber">
    <w:name w:val="line number"/>
    <w:basedOn w:val="DefaultParagraphFont"/>
    <w:uiPriority w:val="99"/>
    <w:semiHidden/>
    <w:unhideWhenUsed/>
    <w:qFormat/>
    <w:rsid w:val="00ef4b84"/>
    <w:rPr/>
  </w:style>
  <w:style w:type="character" w:styleId="Style16">
    <w:name w:val="Интернет-ссылка"/>
    <w:basedOn w:val="DefaultParagraphFont"/>
    <w:uiPriority w:val="99"/>
    <w:unhideWhenUsed/>
    <w:rsid w:val="007f05c6"/>
    <w:rPr>
      <w:color w:val="0000FF" w:themeColor="hyperlink"/>
      <w:u w:val="single"/>
    </w:rPr>
  </w:style>
  <w:style w:type="character" w:styleId="11" w:customStyle="1">
    <w:name w:val="Основной текст Знак1"/>
    <w:uiPriority w:val="99"/>
    <w:qFormat/>
    <w:locked/>
    <w:rsid w:val="00305189"/>
    <w:rPr>
      <w:rFonts w:ascii="Times New Roman" w:hAnsi="Times New Roman" w:cs="Times New Roman"/>
      <w:sz w:val="26"/>
      <w:szCs w:val="26"/>
      <w:shd w:fill="FFFFFF" w:val="clear"/>
    </w:rPr>
  </w:style>
  <w:style w:type="character" w:styleId="12" w:customStyle="1">
    <w:name w:val="Заголовок 1 Знак"/>
    <w:basedOn w:val="DefaultParagraphFont"/>
    <w:link w:val="1"/>
    <w:qFormat/>
    <w:rsid w:val="008b408e"/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color w:val="000000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9d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129d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ae0528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sz w:val="20"/>
      <w:szCs w:val="20"/>
      <w:lang w:val="ru-RU" w:eastAsia="ru-RU" w:bidi="ar-SA"/>
    </w:rPr>
  </w:style>
  <w:style w:type="paragraph" w:styleId="13" w:customStyle="1">
    <w:name w:val="1 Знак"/>
    <w:basedOn w:val="Normal"/>
    <w:qFormat/>
    <w:rsid w:val="004236d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c54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9"/>
    <w:uiPriority w:val="99"/>
    <w:unhideWhenUsed/>
    <w:rsid w:val="004c54a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4c54a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c07c9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5A80-19D3-4E27-9C1D-F22C00FE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Application>LibreOffice/5.2.2.2$Windows_x86 LibreOffice_project/8f96e87c890bf8fa77463cd4b640a2312823f3ad</Application>
  <Pages>6</Pages>
  <Words>1418</Words>
  <Characters>10168</Characters>
  <CharactersWithSpaces>11897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2015-11-09T11:52:00Z</dcterms:created>
  <dc:creator>White</dc:creator>
  <dc:description/>
  <dc:language>ru-RU</dc:language>
  <cp:lastModifiedBy/>
  <cp:lastPrinted>2018-08-07T11:57:51Z</cp:lastPrinted>
  <dcterms:modified xsi:type="dcterms:W3CDTF">2018-08-09T16:12:50Z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