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048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774"/>
        <w:gridCol w:w="835"/>
        <w:gridCol w:w="200"/>
        <w:gridCol w:w="981"/>
        <w:gridCol w:w="1079"/>
        <w:gridCol w:w="171"/>
      </w:tblGrid>
      <w:tr w:rsidR="0067650C" w:rsidTr="007F6094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144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</w:t>
            </w:r>
            <w:r>
              <w:rPr>
                <w:sz w:val="22"/>
              </w:rPr>
              <w:t xml:space="preserve"> 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сокращение количества дорожно-транспорт</w:t>
            </w:r>
            <w:r>
              <w:rPr>
                <w:color w:val="000000"/>
                <w:sz w:val="22"/>
              </w:rPr>
              <w:lastRenderedPageBreak/>
              <w:t>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№4</w:t>
            </w:r>
            <w:r>
              <w:rPr>
                <w:sz w:val="22"/>
              </w:rPr>
              <w:t xml:space="preserve">  Ямочный ремонт </w:t>
            </w:r>
            <w:r>
              <w:rPr>
                <w:sz w:val="22"/>
              </w:rPr>
              <w:lastRenderedPageBreak/>
              <w:t xml:space="preserve">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</w:t>
            </w:r>
            <w:r>
              <w:rPr>
                <w:sz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2"/>
              </w:rPr>
              <w:lastRenderedPageBreak/>
              <w:t>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Разработка Проекта </w:t>
            </w:r>
            <w:r>
              <w:rPr>
                <w:sz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lastRenderedPageBreak/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</w:t>
            </w:r>
            <w:r>
              <w:rPr>
                <w:sz w:val="22"/>
              </w:rPr>
              <w:lastRenderedPageBreak/>
              <w:t xml:space="preserve">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</w:t>
            </w:r>
            <w:r>
              <w:rPr>
                <w:sz w:val="22"/>
              </w:rPr>
              <w:lastRenderedPageBreak/>
              <w:t>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</w:t>
            </w:r>
            <w:r>
              <w:rPr>
                <w:sz w:val="22"/>
              </w:rPr>
              <w:lastRenderedPageBreak/>
              <w:t xml:space="preserve">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</w:t>
            </w:r>
            <w:r>
              <w:rPr>
                <w:sz w:val="22"/>
              </w:rPr>
              <w:lastRenderedPageBreak/>
              <w:t xml:space="preserve">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</w:t>
            </w:r>
            <w:r>
              <w:rPr>
                <w:sz w:val="22"/>
              </w:rPr>
              <w:lastRenderedPageBreak/>
              <w:t>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 w:rsidRPr="002A35CD">
              <w:rPr>
                <w:b/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</w:t>
            </w:r>
            <w:r>
              <w:rPr>
                <w:sz w:val="22"/>
              </w:rPr>
              <w:lastRenderedPageBreak/>
              <w:t xml:space="preserve">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</w:t>
            </w:r>
            <w:r>
              <w:rPr>
                <w:sz w:val="22"/>
              </w:rPr>
              <w:lastRenderedPageBreak/>
              <w:t xml:space="preserve">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</w:t>
            </w:r>
            <w:r>
              <w:rPr>
                <w:sz w:val="18"/>
              </w:rPr>
              <w:lastRenderedPageBreak/>
              <w:t xml:space="preserve">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lastRenderedPageBreak/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</w:t>
            </w:r>
            <w:r>
              <w:rPr>
                <w:sz w:val="22"/>
              </w:rPr>
              <w:lastRenderedPageBreak/>
              <w:t xml:space="preserve">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</w:t>
            </w:r>
            <w:r>
              <w:rPr>
                <w:sz w:val="22"/>
              </w:rPr>
              <w:lastRenderedPageBreak/>
              <w:t xml:space="preserve">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2-я </w:t>
            </w:r>
            <w:r>
              <w:rPr>
                <w:sz w:val="22"/>
              </w:rPr>
              <w:lastRenderedPageBreak/>
              <w:t>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</w:t>
            </w:r>
            <w:r>
              <w:rPr>
                <w:sz w:val="22"/>
              </w:rPr>
              <w:lastRenderedPageBreak/>
              <w:t>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>
              <w:rPr>
                <w:sz w:val="22"/>
              </w:rPr>
              <w:lastRenderedPageBreak/>
              <w:t xml:space="preserve">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</w:t>
            </w:r>
            <w:r>
              <w:rPr>
                <w:sz w:val="22"/>
              </w:rPr>
              <w:lastRenderedPageBreak/>
              <w:t xml:space="preserve">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5768AE" w:rsidRDefault="004B7E78">
            <w:pPr>
              <w:tabs>
                <w:tab w:val="left" w:pos="1418"/>
              </w:tabs>
              <w:spacing w:line="216" w:lineRule="auto"/>
              <w:rPr>
                <w:sz w:val="21"/>
                <w:szCs w:val="21"/>
              </w:rPr>
            </w:pPr>
            <w:r>
              <w:rPr>
                <w:sz w:val="22"/>
                <w:u w:val="single"/>
              </w:rPr>
              <w:t xml:space="preserve">Мероприятие №101.28 </w:t>
            </w:r>
            <w:r w:rsidRPr="005768AE"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по </w:t>
            </w:r>
            <w:proofErr w:type="spellStart"/>
            <w:r w:rsidRPr="005768AE">
              <w:rPr>
                <w:sz w:val="21"/>
                <w:szCs w:val="21"/>
              </w:rPr>
              <w:t>ул</w:t>
            </w:r>
            <w:proofErr w:type="gramStart"/>
            <w:r w:rsidRPr="005768AE">
              <w:rPr>
                <w:sz w:val="21"/>
                <w:szCs w:val="21"/>
              </w:rPr>
              <w:t>.Р</w:t>
            </w:r>
            <w:proofErr w:type="gramEnd"/>
            <w:r w:rsidRPr="005768AE">
              <w:rPr>
                <w:sz w:val="21"/>
                <w:szCs w:val="21"/>
              </w:rPr>
              <w:t>ыжова</w:t>
            </w:r>
            <w:proofErr w:type="spellEnd"/>
            <w:r w:rsidRPr="005768AE">
              <w:rPr>
                <w:sz w:val="21"/>
                <w:szCs w:val="21"/>
              </w:rPr>
              <w:t xml:space="preserve"> от </w:t>
            </w:r>
            <w:proofErr w:type="spellStart"/>
            <w:r w:rsidRPr="005768AE">
              <w:rPr>
                <w:sz w:val="21"/>
                <w:szCs w:val="21"/>
              </w:rPr>
              <w:t>пер.Первомайский</w:t>
            </w:r>
            <w:proofErr w:type="spellEnd"/>
            <w:r w:rsidRPr="005768AE">
              <w:rPr>
                <w:sz w:val="21"/>
                <w:szCs w:val="21"/>
              </w:rPr>
              <w:t xml:space="preserve"> до пер. Октябрьский, пер. Октябрьский от ул. </w:t>
            </w:r>
            <w:proofErr w:type="spellStart"/>
            <w:r w:rsidRPr="005768AE">
              <w:rPr>
                <w:sz w:val="21"/>
                <w:szCs w:val="21"/>
              </w:rPr>
              <w:t>К.Маркса</w:t>
            </w:r>
            <w:proofErr w:type="spellEnd"/>
            <w:r w:rsidRPr="005768AE">
              <w:rPr>
                <w:sz w:val="21"/>
                <w:szCs w:val="21"/>
              </w:rPr>
              <w:t xml:space="preserve"> до ул. </w:t>
            </w:r>
            <w:proofErr w:type="spellStart"/>
            <w:r w:rsidRPr="005768AE">
              <w:rPr>
                <w:sz w:val="21"/>
                <w:szCs w:val="21"/>
              </w:rPr>
              <w:t>К.Пахарь</w:t>
            </w:r>
            <w:proofErr w:type="spellEnd"/>
            <w:r w:rsidRPr="005768AE">
              <w:rPr>
                <w:sz w:val="21"/>
                <w:szCs w:val="21"/>
              </w:rPr>
              <w:t xml:space="preserve">, ул. Малиновского от пер. Чапаева до пер. Крутой д. № 370, </w:t>
            </w:r>
          </w:p>
          <w:p w:rsidR="0067650C" w:rsidRPr="005768AE" w:rsidRDefault="004B7E78">
            <w:pPr>
              <w:tabs>
                <w:tab w:val="left" w:pos="1418"/>
              </w:tabs>
              <w:spacing w:line="216" w:lineRule="auto"/>
              <w:rPr>
                <w:sz w:val="21"/>
                <w:szCs w:val="21"/>
              </w:rPr>
            </w:pPr>
            <w:proofErr w:type="gramStart"/>
            <w:r w:rsidRPr="005768AE">
              <w:rPr>
                <w:sz w:val="21"/>
                <w:szCs w:val="21"/>
              </w:rPr>
              <w:t xml:space="preserve">ул. Малиновского от пер. Чапаева до д. № 325, ул. Мира от д. № 240 до пер. </w:t>
            </w:r>
            <w:r w:rsidR="005768AE" w:rsidRPr="005768AE">
              <w:rPr>
                <w:sz w:val="21"/>
                <w:szCs w:val="21"/>
              </w:rPr>
              <w:t>Комсомольс</w:t>
            </w:r>
            <w:r w:rsidRPr="005768AE">
              <w:rPr>
                <w:sz w:val="21"/>
                <w:szCs w:val="21"/>
              </w:rPr>
              <w:t xml:space="preserve">кий, от ул. Мира до ул. К. Маркса, ул. Калинина от пер. 2-я Пятилетка до пер. Войкова, ул. Калинина от пер. Пугачева до ул. Ленина, ул. </w:t>
            </w:r>
            <w:proofErr w:type="spellStart"/>
            <w:r w:rsidRPr="005768AE">
              <w:rPr>
                <w:sz w:val="21"/>
                <w:szCs w:val="21"/>
              </w:rPr>
              <w:t>М.Горького</w:t>
            </w:r>
            <w:proofErr w:type="spellEnd"/>
            <w:r w:rsidRPr="005768AE">
              <w:rPr>
                <w:sz w:val="21"/>
                <w:szCs w:val="21"/>
              </w:rPr>
              <w:t xml:space="preserve"> от д. № 1 до пер. </w:t>
            </w:r>
            <w:r w:rsidR="005768AE" w:rsidRPr="005768AE">
              <w:rPr>
                <w:sz w:val="21"/>
                <w:szCs w:val="21"/>
              </w:rPr>
              <w:t>Пугачева</w:t>
            </w:r>
            <w:r w:rsidRPr="005768AE">
              <w:rPr>
                <w:sz w:val="21"/>
                <w:szCs w:val="21"/>
              </w:rPr>
              <w:t>, ул. Набережная от д. № 1 до пер. Садовый, ул. Дзержинского от</w:t>
            </w:r>
            <w:proofErr w:type="gramEnd"/>
            <w:r w:rsidRPr="005768AE">
              <w:rPr>
                <w:sz w:val="21"/>
                <w:szCs w:val="21"/>
              </w:rPr>
              <w:t xml:space="preserve"> пер. Войкова до д. № 158,</w:t>
            </w:r>
          </w:p>
          <w:p w:rsidR="0067650C" w:rsidRDefault="004B7E78" w:rsidP="005768AE">
            <w:pPr>
              <w:tabs>
                <w:tab w:val="left" w:pos="1418"/>
              </w:tabs>
              <w:spacing w:line="216" w:lineRule="auto"/>
              <w:rPr>
                <w:sz w:val="21"/>
                <w:szCs w:val="21"/>
              </w:rPr>
            </w:pPr>
            <w:proofErr w:type="gramStart"/>
            <w:r w:rsidRPr="005768AE">
              <w:rPr>
                <w:sz w:val="21"/>
                <w:szCs w:val="21"/>
              </w:rPr>
              <w:t xml:space="preserve">ул. </w:t>
            </w:r>
            <w:proofErr w:type="spellStart"/>
            <w:r w:rsidRPr="005768AE">
              <w:rPr>
                <w:sz w:val="21"/>
                <w:szCs w:val="21"/>
              </w:rPr>
              <w:t>Р.Люксембург</w:t>
            </w:r>
            <w:proofErr w:type="spellEnd"/>
            <w:r w:rsidRPr="005768AE">
              <w:rPr>
                <w:sz w:val="21"/>
                <w:szCs w:val="21"/>
              </w:rPr>
              <w:t xml:space="preserve"> от пер. </w:t>
            </w:r>
            <w:proofErr w:type="spellStart"/>
            <w:r w:rsidRPr="005768AE">
              <w:rPr>
                <w:sz w:val="21"/>
                <w:szCs w:val="21"/>
              </w:rPr>
              <w:t>Прикубанский</w:t>
            </w:r>
            <w:proofErr w:type="spellEnd"/>
            <w:r w:rsidRPr="005768AE">
              <w:rPr>
                <w:sz w:val="21"/>
                <w:szCs w:val="21"/>
              </w:rPr>
              <w:t xml:space="preserve"> до пер. Пугачева, пер. Пугачева от ул. Ленина до ул. Набережн</w:t>
            </w:r>
            <w:r w:rsidR="005768AE" w:rsidRPr="005768AE">
              <w:rPr>
                <w:sz w:val="21"/>
                <w:szCs w:val="21"/>
              </w:rPr>
              <w:t>ая</w:t>
            </w:r>
            <w:r w:rsidRPr="005768AE">
              <w:rPr>
                <w:sz w:val="21"/>
                <w:szCs w:val="21"/>
              </w:rPr>
              <w:t xml:space="preserve">, пер. Пугачева от ул. Ленина до ул. Малиновского, ул. Малиновского от пер. Пугачева до пер. Колхозный, ул. </w:t>
            </w:r>
            <w:proofErr w:type="spellStart"/>
            <w:r w:rsidRPr="005768AE">
              <w:rPr>
                <w:sz w:val="21"/>
                <w:szCs w:val="21"/>
              </w:rPr>
              <w:t>К.Маркса</w:t>
            </w:r>
            <w:proofErr w:type="spellEnd"/>
            <w:r w:rsidRPr="005768AE">
              <w:rPr>
                <w:sz w:val="21"/>
                <w:szCs w:val="21"/>
              </w:rPr>
              <w:t xml:space="preserve"> от пер. Войкова до пер. </w:t>
            </w:r>
            <w:r w:rsidRPr="005768AE">
              <w:rPr>
                <w:sz w:val="21"/>
                <w:szCs w:val="21"/>
              </w:rPr>
              <w:lastRenderedPageBreak/>
              <w:t>Колхозный</w:t>
            </w:r>
            <w:r w:rsidR="005768AE" w:rsidRPr="005768AE">
              <w:rPr>
                <w:sz w:val="21"/>
                <w:szCs w:val="21"/>
              </w:rPr>
              <w:t xml:space="preserve">, ул. </w:t>
            </w:r>
            <w:proofErr w:type="spellStart"/>
            <w:r w:rsidR="005768AE" w:rsidRPr="005768AE">
              <w:rPr>
                <w:sz w:val="21"/>
                <w:szCs w:val="21"/>
              </w:rPr>
              <w:t>К.Либкнехта</w:t>
            </w:r>
            <w:proofErr w:type="spellEnd"/>
            <w:r w:rsidR="005768AE" w:rsidRPr="005768AE">
              <w:rPr>
                <w:sz w:val="21"/>
                <w:szCs w:val="21"/>
              </w:rPr>
              <w:t xml:space="preserve"> от дома №55до пер. 2-я Пятилетка</w:t>
            </w:r>
            <w:proofErr w:type="gramEnd"/>
          </w:p>
          <w:p w:rsidR="005768AE" w:rsidRDefault="005768AE" w:rsidP="005768AE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8B0D73">
            <w:r>
              <w:rPr>
                <w:color w:val="FF0000"/>
              </w:rPr>
              <w:t>12</w:t>
            </w:r>
            <w:r w:rsidR="008B0D73">
              <w:rPr>
                <w:color w:val="FF0000"/>
              </w:rPr>
              <w:t>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12</w:t>
            </w:r>
            <w:r w:rsidR="008B0D73" w:rsidRPr="008B0D73">
              <w:rPr>
                <w:color w:val="FF0000"/>
                <w:sz w:val="22"/>
                <w:szCs w:val="22"/>
              </w:rPr>
              <w:t>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8B0D73">
            <w:r>
              <w:rPr>
                <w:color w:val="FF0000"/>
              </w:rPr>
              <w:t>1275,1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</w:t>
            </w:r>
            <w:r w:rsidR="008B0D73" w:rsidRPr="008B0D73">
              <w:rPr>
                <w:color w:val="FF0000"/>
                <w:sz w:val="22"/>
                <w:szCs w:val="22"/>
              </w:rPr>
              <w:t>275,1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>Реализация мероприятий государственной программы Краснодарского края «Развитие сети автомобиль</w:t>
            </w:r>
            <w:r>
              <w:rPr>
                <w:color w:val="000000"/>
                <w:sz w:val="20"/>
              </w:rPr>
              <w:lastRenderedPageBreak/>
              <w:t>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</w:t>
            </w:r>
            <w:r>
              <w:rPr>
                <w:sz w:val="22"/>
              </w:rPr>
              <w:lastRenderedPageBreak/>
              <w:t xml:space="preserve">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 w:rsidR="001250CD">
              <w:rPr>
                <w:b/>
                <w:color w:val="FF0000"/>
                <w:sz w:val="22"/>
              </w:rPr>
              <w:t>6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 w:rsidR="001250CD">
              <w:rPr>
                <w:color w:val="FF0000"/>
                <w:sz w:val="22"/>
              </w:rPr>
              <w:t>6</w:t>
            </w:r>
            <w:r w:rsidR="004D54C6">
              <w:rPr>
                <w:color w:val="FF0000"/>
                <w:sz w:val="22"/>
              </w:rPr>
              <w:t>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</w:t>
            </w:r>
            <w:r>
              <w:rPr>
                <w:sz w:val="22"/>
              </w:rPr>
              <w:lastRenderedPageBreak/>
              <w:t xml:space="preserve">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</w:t>
            </w:r>
            <w:r>
              <w:rPr>
                <w:sz w:val="22"/>
              </w:rPr>
              <w:lastRenderedPageBreak/>
              <w:t>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</w:t>
            </w:r>
            <w:r>
              <w:rPr>
                <w:sz w:val="22"/>
              </w:rPr>
              <w:lastRenderedPageBreak/>
              <w:t>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</w:t>
            </w:r>
            <w:r>
              <w:rPr>
                <w:sz w:val="22"/>
              </w:rPr>
              <w:lastRenderedPageBreak/>
              <w:t xml:space="preserve">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Кавказского сельского поселения Кавказского </w:t>
            </w:r>
            <w:r>
              <w:rPr>
                <w:sz w:val="22"/>
              </w:rPr>
              <w:lastRenderedPageBreak/>
              <w:t>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</w:t>
            </w:r>
            <w:r>
              <w:rPr>
                <w:sz w:val="22"/>
              </w:rPr>
              <w:lastRenderedPageBreak/>
              <w:t xml:space="preserve">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81C75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1250CD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4D54C6">
              <w:rPr>
                <w:sz w:val="22"/>
              </w:rPr>
              <w:t>0</w:t>
            </w:r>
            <w:r w:rsidR="002A35CD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  <w:r w:rsidR="004D54C6"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</w:t>
            </w:r>
            <w:r>
              <w:rPr>
                <w:sz w:val="22"/>
              </w:rPr>
              <w:lastRenderedPageBreak/>
              <w:t>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</w:t>
            </w:r>
            <w:r>
              <w:rPr>
                <w:sz w:val="22"/>
              </w:rPr>
              <w:lastRenderedPageBreak/>
              <w:t xml:space="preserve">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Разработка проектно-сметной документации по объекту:</w:t>
            </w:r>
            <w:r w:rsidR="00975E9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значения общего пользования на территории </w:t>
            </w:r>
            <w:r w:rsidR="00056FCA">
              <w:rPr>
                <w:sz w:val="22"/>
              </w:rPr>
              <w:t>Кавказского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</w:t>
            </w:r>
            <w:r>
              <w:rPr>
                <w:sz w:val="22"/>
              </w:rPr>
              <w:lastRenderedPageBreak/>
              <w:t xml:space="preserve">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250C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7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</w:t>
            </w:r>
            <w:r w:rsidR="004B7E78">
              <w:rPr>
                <w:b/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</w:t>
            </w:r>
            <w:r w:rsidR="004B7E78">
              <w:rPr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78813,8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58374,0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</w:tbl>
    <w:p w:rsidR="0067650C" w:rsidRDefault="0067650C">
      <w:pPr>
        <w:tabs>
          <w:tab w:val="left" w:pos="1418"/>
        </w:tabs>
        <w:jc w:val="right"/>
        <w:rPr>
          <w:sz w:val="28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>Глава Кавказского сельского поселени</w:t>
      </w:r>
      <w:bookmarkStart w:id="0" w:name="_GoBack"/>
      <w:bookmarkEnd w:id="0"/>
      <w:r>
        <w:rPr>
          <w:sz w:val="28"/>
        </w:rPr>
        <w:t xml:space="preserve">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250CD"/>
    <w:rsid w:val="001D6D6D"/>
    <w:rsid w:val="002825A4"/>
    <w:rsid w:val="002A35CD"/>
    <w:rsid w:val="002E3673"/>
    <w:rsid w:val="00327BD3"/>
    <w:rsid w:val="003A136F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E4770"/>
    <w:rsid w:val="007674D3"/>
    <w:rsid w:val="007F6094"/>
    <w:rsid w:val="008B0D73"/>
    <w:rsid w:val="008D4BC7"/>
    <w:rsid w:val="00945535"/>
    <w:rsid w:val="00975E94"/>
    <w:rsid w:val="009C0AD7"/>
    <w:rsid w:val="00B02B9D"/>
    <w:rsid w:val="00B97B32"/>
    <w:rsid w:val="00C0050E"/>
    <w:rsid w:val="00F07DB1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75</Pages>
  <Words>18989</Words>
  <Characters>108240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12</cp:revision>
  <cp:lastPrinted>2024-09-30T12:46:00Z</cp:lastPrinted>
  <dcterms:created xsi:type="dcterms:W3CDTF">2024-09-03T12:09:00Z</dcterms:created>
  <dcterms:modified xsi:type="dcterms:W3CDTF">2024-11-01T08:29:00Z</dcterms:modified>
</cp:coreProperties>
</file>