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Default="00A40F58" w:rsidP="00DA0DBB">
      <w:pPr>
        <w:ind w:firstLine="6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066" w:rsidRPr="001901B6" w:rsidRDefault="001901B6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B6">
        <w:rPr>
          <w:rFonts w:ascii="Times New Roman" w:hAnsi="Times New Roman" w:cs="Times New Roman"/>
          <w:b/>
          <w:bCs/>
          <w:sz w:val="28"/>
          <w:szCs w:val="28"/>
        </w:rPr>
        <w:t>АДМИНИСТРАЦИЯ КАВКАЗСКОГО СЕЛЬСКОГО ПОСЕЛЕНИЯ КАВКАЗСКОГО РАЙОНА</w:t>
      </w:r>
    </w:p>
    <w:p w:rsidR="001901B6" w:rsidRPr="001901B6" w:rsidRDefault="001901B6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1B6" w:rsidRPr="001901B6" w:rsidRDefault="001901B6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01B6" w:rsidRPr="001901B6" w:rsidRDefault="001901B6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01B6" w:rsidRPr="001901B6" w:rsidRDefault="001901B6" w:rsidP="001901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1B6">
        <w:rPr>
          <w:rFonts w:ascii="Times New Roman" w:hAnsi="Times New Roman" w:cs="Times New Roman"/>
          <w:b/>
          <w:bCs/>
          <w:sz w:val="28"/>
          <w:szCs w:val="28"/>
        </w:rPr>
        <w:t>от  1</w:t>
      </w:r>
      <w:r w:rsidR="00E51CDF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1901B6">
        <w:rPr>
          <w:rFonts w:ascii="Times New Roman" w:hAnsi="Times New Roman" w:cs="Times New Roman"/>
          <w:b/>
          <w:bCs/>
          <w:sz w:val="28"/>
          <w:szCs w:val="28"/>
        </w:rPr>
        <w:t xml:space="preserve">.01.2021 года </w:t>
      </w:r>
      <w:r w:rsidRPr="00190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0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0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0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01B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90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0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01B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901B6">
        <w:rPr>
          <w:rFonts w:ascii="Times New Roman" w:hAnsi="Times New Roman" w:cs="Times New Roman"/>
          <w:b/>
          <w:bCs/>
          <w:sz w:val="28"/>
          <w:szCs w:val="28"/>
        </w:rPr>
        <w:tab/>
        <w:t>№ 19</w:t>
      </w:r>
    </w:p>
    <w:p w:rsidR="00BC6066" w:rsidRPr="001901B6" w:rsidRDefault="00BC6066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431" w:rsidRDefault="00D15431">
      <w:pPr>
        <w:ind w:firstLine="6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1B6" w:rsidRDefault="001901B6">
      <w:pPr>
        <w:ind w:firstLine="6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01B6" w:rsidRPr="002E7CDA" w:rsidRDefault="001901B6">
      <w:pPr>
        <w:ind w:firstLine="6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431" w:rsidRPr="002E7CDA" w:rsidRDefault="00F04010" w:rsidP="00F04010">
      <w:pPr>
        <w:tabs>
          <w:tab w:val="left" w:pos="4193"/>
        </w:tabs>
        <w:ind w:firstLine="643"/>
        <w:rPr>
          <w:rFonts w:ascii="Times New Roman" w:hAnsi="Times New Roman" w:cs="Times New Roman"/>
          <w:b/>
          <w:bCs/>
          <w:sz w:val="24"/>
          <w:szCs w:val="24"/>
        </w:rPr>
      </w:pPr>
      <w:r w:rsidRPr="002E7C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5431" w:rsidRPr="002E7CDA" w:rsidRDefault="00D15431">
      <w:pPr>
        <w:ind w:firstLine="6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635" w:rsidRPr="007671C1" w:rsidRDefault="003F1635" w:rsidP="003F1635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</w:t>
      </w:r>
      <w:r w:rsidR="001901B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 2014 года № 481 «Об утверждении муниципальной программы «Развитие культуры Кавказского сельского поселения»</w:t>
      </w:r>
    </w:p>
    <w:p w:rsidR="003F1635" w:rsidRPr="007671C1" w:rsidRDefault="003F1635" w:rsidP="003F1635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8A03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71C1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3F1635" w:rsidRPr="007671C1" w:rsidRDefault="003F1635" w:rsidP="003F1635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F1635" w:rsidRPr="007671C1" w:rsidRDefault="003F1635" w:rsidP="003F1635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 w:rsidR="003F1635" w:rsidRPr="00481498" w:rsidRDefault="003F1635" w:rsidP="001115C2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760">
        <w:rPr>
          <w:rFonts w:ascii="Times New Roman" w:hAnsi="Times New Roman" w:cs="Times New Roman"/>
          <w:sz w:val="28"/>
          <w:szCs w:val="28"/>
        </w:rPr>
        <w:t xml:space="preserve">3. </w:t>
      </w:r>
      <w:r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района от </w:t>
      </w:r>
      <w:r w:rsidR="00A60CB9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3C1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2020 года №</w:t>
      </w:r>
      <w:r w:rsidR="009413BB">
        <w:rPr>
          <w:rFonts w:ascii="Times New Roman" w:hAnsi="Times New Roman" w:cs="Times New Roman"/>
          <w:color w:val="auto"/>
          <w:sz w:val="28"/>
          <w:szCs w:val="28"/>
        </w:rPr>
        <w:t>47</w:t>
      </w:r>
      <w:r w:rsidR="00A60CB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481498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 w:rsidR="003F1635" w:rsidRDefault="001115C2" w:rsidP="003F1635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1635" w:rsidRPr="007671C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МКУ «ЦБК» Кавказского сельского поселения, М.А. </w:t>
      </w:r>
      <w:proofErr w:type="spellStart"/>
      <w:r w:rsidR="003F1635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3F1635" w:rsidRPr="007671C1">
        <w:rPr>
          <w:rFonts w:ascii="Times New Roman" w:hAnsi="Times New Roman" w:cs="Times New Roman"/>
          <w:sz w:val="28"/>
          <w:szCs w:val="28"/>
        </w:rPr>
        <w:t>.</w:t>
      </w:r>
    </w:p>
    <w:p w:rsidR="00426995" w:rsidRDefault="00426995" w:rsidP="003F1635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426995" w:rsidRDefault="00426995" w:rsidP="00426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26995" w:rsidRPr="007671C1" w:rsidRDefault="00426995" w:rsidP="004269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5C2" w:rsidRPr="001115C2" w:rsidRDefault="001115C2" w:rsidP="001115C2">
      <w:pPr>
        <w:pStyle w:val="Style3"/>
        <w:widowControl/>
        <w:tabs>
          <w:tab w:val="left" w:pos="851"/>
          <w:tab w:val="left" w:pos="1061"/>
        </w:tabs>
        <w:ind w:firstLine="851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3F1635" w:rsidRPr="001115C2">
        <w:rPr>
          <w:rFonts w:cs="Times New Roman"/>
          <w:sz w:val="28"/>
          <w:szCs w:val="28"/>
          <w:lang w:val="ru-RU"/>
        </w:rPr>
        <w:t xml:space="preserve">. </w:t>
      </w:r>
      <w:r>
        <w:rPr>
          <w:rStyle w:val="FontStyle16"/>
          <w:sz w:val="28"/>
          <w:szCs w:val="28"/>
          <w:lang w:val="ru-RU"/>
        </w:rPr>
        <w:t xml:space="preserve">Постановление вступает в силу со дня  его подписания и распространяется на </w:t>
      </w:r>
      <w:proofErr w:type="gramStart"/>
      <w:r>
        <w:rPr>
          <w:rStyle w:val="FontStyle16"/>
          <w:sz w:val="28"/>
          <w:szCs w:val="28"/>
          <w:lang w:val="ru-RU"/>
        </w:rPr>
        <w:t>правоотношения</w:t>
      </w:r>
      <w:proofErr w:type="gramEnd"/>
      <w:r>
        <w:rPr>
          <w:rStyle w:val="FontStyle16"/>
          <w:sz w:val="28"/>
          <w:szCs w:val="28"/>
          <w:lang w:val="ru-RU"/>
        </w:rPr>
        <w:t xml:space="preserve"> возникшие с 01 января 2021 года.</w:t>
      </w:r>
    </w:p>
    <w:p w:rsidR="001115C2" w:rsidRDefault="001115C2" w:rsidP="001115C2">
      <w:pPr>
        <w:pStyle w:val="Style3"/>
        <w:widowControl/>
        <w:tabs>
          <w:tab w:val="left" w:pos="851"/>
          <w:tab w:val="left" w:pos="1061"/>
        </w:tabs>
        <w:ind w:firstLine="0"/>
        <w:rPr>
          <w:sz w:val="28"/>
          <w:szCs w:val="28"/>
          <w:lang w:val="ru-RU"/>
        </w:rPr>
      </w:pPr>
    </w:p>
    <w:p w:rsidR="003F1635" w:rsidRPr="007671C1" w:rsidRDefault="003F1635" w:rsidP="001115C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rPr>
          <w:rFonts w:ascii="Times New Roman" w:eastAsia="Calibri" w:hAnsi="Times New Roman" w:cs="Times New Roman"/>
          <w:sz w:val="28"/>
          <w:szCs w:val="28"/>
        </w:rPr>
      </w:pPr>
    </w:p>
    <w:p w:rsidR="003F1635" w:rsidRPr="007671C1" w:rsidRDefault="003F1635" w:rsidP="003F1635">
      <w:pPr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3F1635" w:rsidRPr="007671C1" w:rsidRDefault="003F1635" w:rsidP="003F1635">
      <w:pPr>
        <w:rPr>
          <w:rFonts w:ascii="Times New Roman" w:eastAsia="Calibri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О.Г. Мясищева</w:t>
      </w:r>
    </w:p>
    <w:p w:rsidR="003F1635" w:rsidRPr="007671C1" w:rsidRDefault="003F1635" w:rsidP="003F1635">
      <w:pPr>
        <w:rPr>
          <w:rFonts w:ascii="Times New Roman" w:hAnsi="Times New Roman" w:cs="Times New Roman"/>
          <w:sz w:val="28"/>
          <w:szCs w:val="28"/>
        </w:rPr>
      </w:pPr>
    </w:p>
    <w:p w:rsidR="003F1635" w:rsidRPr="007671C1" w:rsidRDefault="003F1635" w:rsidP="003F1635">
      <w:pPr>
        <w:rPr>
          <w:rFonts w:ascii="Times New Roman" w:hAnsi="Times New Roman" w:cs="Times New Roman"/>
          <w:sz w:val="28"/>
          <w:szCs w:val="28"/>
        </w:rPr>
      </w:pPr>
    </w:p>
    <w:p w:rsidR="00A40F58" w:rsidRPr="002E7CDA" w:rsidRDefault="00A40F58">
      <w:pPr>
        <w:rPr>
          <w:rFonts w:ascii="Times New Roman" w:hAnsi="Times New Roman" w:cs="Times New Roman"/>
          <w:sz w:val="24"/>
          <w:szCs w:val="24"/>
        </w:rPr>
      </w:pPr>
    </w:p>
    <w:p w:rsidR="00A40F58" w:rsidRPr="002E7CDA" w:rsidRDefault="00A40F58">
      <w:pPr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426995" w:rsidRDefault="0042699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Pr="002E7CDA" w:rsidRDefault="003F1635">
      <w:pPr>
        <w:rPr>
          <w:rFonts w:ascii="Times New Roman" w:hAnsi="Times New Roman" w:cs="Times New Roman"/>
          <w:sz w:val="24"/>
          <w:szCs w:val="24"/>
        </w:rPr>
      </w:pPr>
    </w:p>
    <w:p w:rsidR="00A40F58" w:rsidRPr="003F1635" w:rsidRDefault="003F1635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</w:t>
      </w:r>
    </w:p>
    <w:p w:rsidR="00A40F58" w:rsidRPr="003F1635" w:rsidRDefault="00A40F58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C37722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3F1635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3F1635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21727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3995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3F1635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726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1519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11F0F" w:rsidRPr="003F1635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725342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67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3F1635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619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 </w:t>
            </w:r>
            <w:r w:rsidR="002C65F9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F5D99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04199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041995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380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3930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3F1635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450,00 тыс. руб.</w:t>
            </w:r>
          </w:p>
          <w:p w:rsidR="00A40F58" w:rsidRPr="00D33A7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040868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D33A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127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33A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2021 год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115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6E4135" w:rsidRPr="003F1635" w:rsidRDefault="006E413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культуры Кавказского сельского поселения Кавказского района на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423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7064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447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A40F5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FA4F4D" w:rsidRPr="003F1635" w:rsidRDefault="00FA4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Pr="003F1635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Pr="003F1635" w:rsidRDefault="00C37722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426995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4269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FB4CB1">
          <w:pgSz w:w="11906" w:h="16838"/>
          <w:pgMar w:top="1134" w:right="851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34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1726</w:t>
            </w:r>
            <w:r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A3B41" w:rsidRPr="00D548DD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D548DD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D548DD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3125</w:t>
            </w:r>
            <w:r w:rsidR="005E549A"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D548DD" w:rsidRDefault="00B00192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</w:t>
            </w:r>
            <w:r w:rsidR="00FA7D0D"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D0D" w:rsidRPr="00D5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 w:rsidP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4487F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736CDD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4905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4917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3995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2E7CDA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F71C13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7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71C13" w:rsidP="00F71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</w:t>
            </w:r>
            <w:r w:rsidR="00647970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AD6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3643F3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3503,8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F7617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Кавказского сель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647970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FF42CF" w:rsidP="00DC1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C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D479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F42CF" w:rsidP="00B51D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D63" w:rsidRPr="00B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  <w:r w:rsidR="005E549A" w:rsidRPr="00B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51D63" w:rsidRPr="00B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</w:t>
            </w:r>
          </w:p>
          <w:p w:rsidR="005E549A" w:rsidRPr="00B161FF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</w:t>
            </w:r>
            <w:r w:rsidR="0042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42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района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2015-202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42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647970" w:rsidP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5461A1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5461A1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5461A1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426995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2699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BB7AD1" w:rsidRPr="003F1635" w:rsidRDefault="00BB7AD1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15"/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3F1635">
        <w:rPr>
          <w:rFonts w:ascii="Times New Roman" w:hAnsi="Times New Roman" w:cs="Times New Roman"/>
          <w:sz w:val="28"/>
          <w:szCs w:val="28"/>
        </w:rPr>
        <w:t xml:space="preserve">                О.Г. Мясищева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2D12A0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в год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  <w:r w:rsidR="00F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4D70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3F1635" w:rsidRDefault="00EB3700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E74E1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F434DC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9A26B9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</w:t>
      </w:r>
      <w:r w:rsidR="00E13B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О.Г. Мясищева</w:t>
      </w:r>
    </w:p>
    <w:p w:rsidR="00C010B0" w:rsidRDefault="00C010B0" w:rsidP="00F434DC">
      <w:pPr>
        <w:rPr>
          <w:rFonts w:ascii="Times New Roman" w:hAnsi="Times New Roman" w:cs="Times New Roman"/>
          <w:sz w:val="24"/>
          <w:szCs w:val="24"/>
        </w:rPr>
      </w:pP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составляет  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380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883A0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623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3930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365DB6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E32D57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AB20BE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565EF" w:rsidRPr="00B161F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E32D57" w:rsidP="00E9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D73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E7CDA" w:rsidRDefault="00E32D57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876C77" w:rsidRPr="003F1635" w:rsidRDefault="00EB3700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DB53A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</w:t>
      </w:r>
      <w:r w:rsidR="00AE1A4E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E32D57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3F1635" w:rsidRDefault="00D3634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</w:t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19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4"/>
        <w:gridCol w:w="1306"/>
        <w:gridCol w:w="1001"/>
        <w:gridCol w:w="982"/>
        <w:gridCol w:w="1020"/>
        <w:gridCol w:w="991"/>
        <w:gridCol w:w="1001"/>
        <w:gridCol w:w="979"/>
        <w:gridCol w:w="935"/>
        <w:gridCol w:w="897"/>
        <w:gridCol w:w="881"/>
        <w:gridCol w:w="1630"/>
        <w:gridCol w:w="1190"/>
      </w:tblGrid>
      <w:tr w:rsidR="00FD77E2" w:rsidRPr="002E7CDA" w:rsidTr="00376E2D">
        <w:trPr>
          <w:trHeight w:val="51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1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3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442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4C2AD2">
        <w:trPr>
          <w:trHeight w:val="403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в сфере культуры и искусства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услуг сферы культуры  для всех категорий потребителей</w:t>
            </w: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9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6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1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4C2AD2">
        <w:trPr>
          <w:trHeight w:val="7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4C2AD2">
        <w:trPr>
          <w:trHeight w:val="9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4C2AD2">
        <w:trPr>
          <w:trHeight w:val="109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151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C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377F6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161FF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A257F8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377F68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3F4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4C2AD2" w:rsidRDefault="004C2AD2" w:rsidP="00A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03DE" w:rsidRPr="002E7CDA" w:rsidRDefault="00A303DE" w:rsidP="00A30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  <w:proofErr w:type="spellEnd"/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4C2AD2" w:rsidRPr="00B7539A" w:rsidRDefault="004C2AD2" w:rsidP="00DD3F4C">
            <w:proofErr w:type="spellStart"/>
            <w:r w:rsidRPr="00B7539A">
              <w:t>нию</w:t>
            </w:r>
            <w:proofErr w:type="spellEnd"/>
            <w:r w:rsidRPr="00B7539A">
              <w:t xml:space="preserve"> книжных фондов библиотек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3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обеспечения услугами организаций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1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37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51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1557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2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323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здания МБУК «ЦСБ»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сельского поселения по адресу: ст. Кавказская, пер.Первомайский,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2565EF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C42D60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42D60" w:rsidP="00E677B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05F84" w:rsidP="007636E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</w:t>
            </w:r>
            <w:r w:rsidR="00C42D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C05F84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754805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4805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E677BD" w:rsidP="00E677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</w:t>
            </w:r>
            <w:r w:rsidR="0006613F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754805" w:rsidRDefault="008F1A7F" w:rsidP="00C05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06613F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E677BD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Pr="003F1635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3F1635" w:rsidRDefault="00D36348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FC1EC1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3F16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05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9"/>
        <w:gridCol w:w="7025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64445" w:rsidRPr="003F16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реализацию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составляет  </w:t>
            </w:r>
            <w:r w:rsidR="00B53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127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3F1635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 тыс. руб., в т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200,0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630,0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115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 тыс. руб.</w:t>
            </w:r>
          </w:p>
          <w:p w:rsidR="00B44AA4" w:rsidRPr="003F1635" w:rsidRDefault="00B44AA4" w:rsidP="000B755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B17939" w:rsidP="00B179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1006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</w:t>
            </w:r>
            <w:r w:rsidR="00B801B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B801BF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C810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</w:tr>
      <w:tr w:rsidR="00DD4660" w:rsidRPr="00B161FF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B801BF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810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06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149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1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Pr="003F1635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6C77" w:rsidRPr="003F1635" w:rsidRDefault="0021795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</w:t>
      </w:r>
      <w:r w:rsidR="000F6114" w:rsidRPr="003F1635">
        <w:rPr>
          <w:rFonts w:ascii="Times New Roman" w:hAnsi="Times New Roman" w:cs="Times New Roman"/>
          <w:sz w:val="28"/>
          <w:szCs w:val="28"/>
        </w:rPr>
        <w:t xml:space="preserve">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2E7CDA" w:rsidRDefault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63B36" w:rsidRPr="002E7CDA" w:rsidRDefault="00E63B36" w:rsidP="00E63B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5F06BB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876C77" w:rsidRPr="003F1635" w:rsidRDefault="00BA607C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7958"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="00217958"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876C77" w:rsidRPr="003F1635" w:rsidRDefault="00BA607C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57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08"/>
        <w:gridCol w:w="1748"/>
        <w:gridCol w:w="1144"/>
        <w:gridCol w:w="1218"/>
        <w:gridCol w:w="981"/>
        <w:gridCol w:w="1123"/>
        <w:gridCol w:w="1044"/>
        <w:gridCol w:w="987"/>
        <w:gridCol w:w="1003"/>
        <w:gridCol w:w="1136"/>
        <w:gridCol w:w="1101"/>
        <w:gridCol w:w="1173"/>
        <w:gridCol w:w="1408"/>
        <w:gridCol w:w="1041"/>
      </w:tblGrid>
      <w:tr w:rsidR="00B70224" w:rsidRPr="002E7CDA" w:rsidTr="00EE3C53">
        <w:trPr>
          <w:trHeight w:val="518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6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702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374CF3" w:rsidRPr="002E7CDA" w:rsidTr="00EE3C53"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c>
          <w:tcPr>
            <w:tcW w:w="2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70224" w:rsidRPr="002E7CDA" w:rsidTr="00EE3C53">
        <w:tc>
          <w:tcPr>
            <w:tcW w:w="2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22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EE3C53">
        <w:tc>
          <w:tcPr>
            <w:tcW w:w="2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22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CF3" w:rsidRPr="002E7CDA" w:rsidTr="00EE3C53"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ДК «СКЦ» Кавказского сельского поселения;</w:t>
            </w:r>
          </w:p>
          <w:p w:rsidR="00A07AD2" w:rsidRPr="002E7CDA" w:rsidRDefault="00A07AD2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Кавказского сельского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374CF3" w:rsidRPr="002E7CDA" w:rsidTr="00EE3C53"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445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450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64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750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495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58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70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79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600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630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690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73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567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A07AD2" w:rsidRPr="002E7CDA" w:rsidRDefault="00A07AD2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567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567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567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567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  <w:r w:rsidR="0065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2170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170A6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A07AD2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работы всех систем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деятельности, проведение текущего ремонта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25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B17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170A6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2170A6" w:rsidP="00956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12910,00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374CF3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287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1532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85DC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5523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885DC3" w:rsidP="005523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285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</w:t>
            </w:r>
            <w:proofErr w:type="spellEnd"/>
          </w:p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329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281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34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rPr>
          <w:trHeight w:val="409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на возмещение расходов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EE3C53"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27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2673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692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1081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734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703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53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1024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32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36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792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47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47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</w:t>
            </w: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Российской Федерации «Доступная среда» на 2011-2017  годы по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лей услугами организаций культуры путем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ходимым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кинопо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47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47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47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47"/>
        </w:trPr>
        <w:tc>
          <w:tcPr>
            <w:tcW w:w="2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1.1.8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049" w:rsidRPr="002E7CDA" w:rsidRDefault="002A7049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A7049" w:rsidRPr="002E7CDA" w:rsidRDefault="002A7049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3A2CC2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7049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75533C" w:rsidRDefault="003A2CC2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7049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3A2CC2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</w:t>
            </w:r>
            <w:r w:rsidR="002A704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3A2CC2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2A7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Повышение оплаты труда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</w:t>
            </w:r>
            <w:proofErr w:type="spellEnd"/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учреждений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Краснодарско</w:t>
            </w:r>
            <w:proofErr w:type="spellEnd"/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№9.1: Создание условий для организации досуга и обеспечения услугами организаций культуры в части поэтапного повышения уровня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предпри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05"/>
        </w:trPr>
        <w:tc>
          <w:tcPr>
            <w:tcW w:w="2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645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64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64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64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645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64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64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1300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645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поэтапного повышения уровня средней заработной платы работников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794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1082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1851"/>
        </w:trPr>
        <w:tc>
          <w:tcPr>
            <w:tcW w:w="2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484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484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484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172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484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484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484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484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484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ремонт, 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725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852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76"/>
        </w:trPr>
        <w:tc>
          <w:tcPr>
            <w:tcW w:w="2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76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Капитальный ремонт цоколя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 крыльца здания по ул. Ленина 225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учреждениями капитального ремонта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76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76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76"/>
        </w:trPr>
        <w:tc>
          <w:tcPr>
            <w:tcW w:w="2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76"/>
        </w:trPr>
        <w:tc>
          <w:tcPr>
            <w:tcW w:w="224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76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76"/>
        </w:trPr>
        <w:tc>
          <w:tcPr>
            <w:tcW w:w="2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EE3C53">
        <w:trPr>
          <w:trHeight w:val="576"/>
        </w:trPr>
        <w:tc>
          <w:tcPr>
            <w:tcW w:w="2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53" w:rsidRPr="002E7CDA" w:rsidTr="00EE3C53">
        <w:trPr>
          <w:trHeight w:val="1020"/>
        </w:trPr>
        <w:tc>
          <w:tcPr>
            <w:tcW w:w="2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C53" w:rsidRPr="002E7CDA" w:rsidRDefault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72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11:</w:t>
            </w:r>
          </w:p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Мероприятия государственной программы Краснодарског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 края «Доступная среда</w:t>
            </w:r>
          </w:p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E3C53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E3C53" w:rsidRPr="002E7CDA" w:rsidRDefault="00EE3C53" w:rsidP="007B440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E3C53" w:rsidRPr="002E7CDA" w:rsidRDefault="00EE3C53" w:rsidP="00F71C1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75533C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489,1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C53" w:rsidRPr="002E7CDA" w:rsidRDefault="00EE3C5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Pr="002E7CDA" w:rsidRDefault="00EE3C5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53" w:rsidRPr="002E7CDA" w:rsidRDefault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EE3C53">
        <w:trPr>
          <w:trHeight w:val="50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EE3C53">
        <w:trPr>
          <w:trHeight w:val="50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EE3C53">
        <w:trPr>
          <w:trHeight w:val="1308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3F1635">
        <w:trPr>
          <w:trHeight w:val="1020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3F1635">
        <w:trPr>
          <w:trHeight w:val="50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3F1635">
        <w:trPr>
          <w:trHeight w:val="50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3F1635">
        <w:trPr>
          <w:trHeight w:val="1466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3F1635">
        <w:trPr>
          <w:trHeight w:val="1607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Предоставление субсидий из краевого бюджета бюджетам муниципальных образований на обеспечение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услугами организаций культуры путем обеспечения доступности для инвалидов и других маломобильных групп населения зданий муниципальных учреждений культуры Краснодарского края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3F1635">
        <w:trPr>
          <w:trHeight w:val="1607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3F1635">
        <w:trPr>
          <w:trHeight w:val="1607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3F1635">
        <w:trPr>
          <w:trHeight w:val="1607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08" w:rsidRPr="00286708" w:rsidTr="00EE3C53">
        <w:trPr>
          <w:trHeight w:val="50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B161FF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127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155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</w:t>
            </w:r>
            <w:r w:rsidR="00C47CB3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14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983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EE3C53">
        <w:trPr>
          <w:trHeight w:val="815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1006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B1793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2172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EE3C53">
        <w:trPr>
          <w:trHeight w:val="692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EE3C53">
        <w:trPr>
          <w:trHeight w:val="701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1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EE3C53">
        <w:trPr>
          <w:trHeight w:val="701"/>
        </w:trPr>
        <w:tc>
          <w:tcPr>
            <w:tcW w:w="2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  <w:tc>
          <w:tcPr>
            <w:tcW w:w="37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  <w:tc>
          <w:tcPr>
            <w:tcW w:w="44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3F1635" w:rsidRDefault="000F30B9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E63094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3F1635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F30B9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изацию Подпрограммы составляет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0458E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423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E562F6" w:rsidRPr="003F1635" w:rsidRDefault="00E562F6" w:rsidP="00AB4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447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 (М.</w:t>
      </w:r>
      <w:r w:rsidR="00376266" w:rsidRPr="003F163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76266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</w:t>
      </w:r>
      <w:proofErr w:type="gramStart"/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199" w:type="dxa"/>
        <w:tblInd w:w="-11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020"/>
        <w:gridCol w:w="964"/>
        <w:gridCol w:w="907"/>
        <w:gridCol w:w="907"/>
        <w:gridCol w:w="907"/>
        <w:gridCol w:w="907"/>
        <w:gridCol w:w="907"/>
        <w:gridCol w:w="907"/>
        <w:gridCol w:w="937"/>
      </w:tblGrid>
      <w:tr w:rsidR="00DD4660" w:rsidRPr="002E7CDA" w:rsidTr="009B368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9B368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9B368E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 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FC5259" w:rsidP="00045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045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Default="00FC5259" w:rsidP="00045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104" w:rsidRPr="004D4318" w:rsidTr="009B368E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FC5259" w:rsidP="00045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0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423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0458E3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FC5259" w:rsidP="00045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652EFD" w:rsidRPr="00E13BC9" w:rsidRDefault="005A59AE" w:rsidP="00652EFD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Calibri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E13BC9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40F58" w:rsidRPr="00E13BC9" w:rsidRDefault="00652EFD" w:rsidP="00652EFD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B9D" w:rsidRPr="00E13BC9" w:rsidRDefault="00C37722">
      <w:pPr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E13BC9" w:rsidRDefault="00A522C5" w:rsidP="00A522C5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04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930"/>
        <w:gridCol w:w="1472"/>
      </w:tblGrid>
      <w:tr w:rsidR="00EE3077" w:rsidRPr="002E7CDA" w:rsidTr="00AE33F3">
        <w:trPr>
          <w:trHeight w:val="518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E818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E818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45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необходимой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офисной техникой, мебелью и другими основными средствами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F0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rPr>
          <w:trHeight w:val="376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</w:p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работников 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</w:t>
            </w:r>
            <w:proofErr w:type="gramEnd"/>
          </w:p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32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281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1020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32423,7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32423,7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71E7"/>
    <w:rsid w:val="00007587"/>
    <w:rsid w:val="00010531"/>
    <w:rsid w:val="00010C06"/>
    <w:rsid w:val="000115E6"/>
    <w:rsid w:val="00015159"/>
    <w:rsid w:val="00020027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51FA4"/>
    <w:rsid w:val="00053E92"/>
    <w:rsid w:val="0006064D"/>
    <w:rsid w:val="00061275"/>
    <w:rsid w:val="00064535"/>
    <w:rsid w:val="00064CC2"/>
    <w:rsid w:val="0006613F"/>
    <w:rsid w:val="000754B4"/>
    <w:rsid w:val="00075F05"/>
    <w:rsid w:val="0007705A"/>
    <w:rsid w:val="00083DB8"/>
    <w:rsid w:val="000A2E66"/>
    <w:rsid w:val="000A659F"/>
    <w:rsid w:val="000A7B4A"/>
    <w:rsid w:val="000B4F09"/>
    <w:rsid w:val="000B55D4"/>
    <w:rsid w:val="000B7211"/>
    <w:rsid w:val="000B7551"/>
    <w:rsid w:val="000C512B"/>
    <w:rsid w:val="000C53FD"/>
    <w:rsid w:val="000D26A5"/>
    <w:rsid w:val="000D3C4C"/>
    <w:rsid w:val="000E69F4"/>
    <w:rsid w:val="000F0F99"/>
    <w:rsid w:val="000F26A0"/>
    <w:rsid w:val="000F30B9"/>
    <w:rsid w:val="000F594E"/>
    <w:rsid w:val="000F6114"/>
    <w:rsid w:val="001008A1"/>
    <w:rsid w:val="00101B21"/>
    <w:rsid w:val="001115C2"/>
    <w:rsid w:val="001123C0"/>
    <w:rsid w:val="0011667C"/>
    <w:rsid w:val="001228F9"/>
    <w:rsid w:val="00123CA3"/>
    <w:rsid w:val="00124E27"/>
    <w:rsid w:val="00127E34"/>
    <w:rsid w:val="00133B20"/>
    <w:rsid w:val="00136355"/>
    <w:rsid w:val="00144B70"/>
    <w:rsid w:val="00147C6B"/>
    <w:rsid w:val="0015183C"/>
    <w:rsid w:val="0015643D"/>
    <w:rsid w:val="00163DDA"/>
    <w:rsid w:val="00167425"/>
    <w:rsid w:val="00174AFC"/>
    <w:rsid w:val="00175D55"/>
    <w:rsid w:val="0018031C"/>
    <w:rsid w:val="00183DC7"/>
    <w:rsid w:val="00185E4B"/>
    <w:rsid w:val="001901B6"/>
    <w:rsid w:val="00191606"/>
    <w:rsid w:val="001917A0"/>
    <w:rsid w:val="00195A2C"/>
    <w:rsid w:val="001A5FE9"/>
    <w:rsid w:val="001A7DA8"/>
    <w:rsid w:val="001B2C8A"/>
    <w:rsid w:val="001B3365"/>
    <w:rsid w:val="001B3D1F"/>
    <w:rsid w:val="001B6324"/>
    <w:rsid w:val="001C2E36"/>
    <w:rsid w:val="001C6175"/>
    <w:rsid w:val="001C6486"/>
    <w:rsid w:val="001D0F76"/>
    <w:rsid w:val="001D4EDA"/>
    <w:rsid w:val="001D7935"/>
    <w:rsid w:val="001D7ED1"/>
    <w:rsid w:val="001E07CA"/>
    <w:rsid w:val="001E0D8C"/>
    <w:rsid w:val="001E6F43"/>
    <w:rsid w:val="001F41A6"/>
    <w:rsid w:val="00203375"/>
    <w:rsid w:val="0020627A"/>
    <w:rsid w:val="00206A00"/>
    <w:rsid w:val="00210783"/>
    <w:rsid w:val="00210ADF"/>
    <w:rsid w:val="00214B06"/>
    <w:rsid w:val="002170A6"/>
    <w:rsid w:val="00217271"/>
    <w:rsid w:val="00217958"/>
    <w:rsid w:val="00222146"/>
    <w:rsid w:val="002302B4"/>
    <w:rsid w:val="0023083D"/>
    <w:rsid w:val="00231261"/>
    <w:rsid w:val="002326A4"/>
    <w:rsid w:val="00246654"/>
    <w:rsid w:val="00246908"/>
    <w:rsid w:val="00250046"/>
    <w:rsid w:val="00254A94"/>
    <w:rsid w:val="002555EB"/>
    <w:rsid w:val="002565EF"/>
    <w:rsid w:val="00260B1E"/>
    <w:rsid w:val="002612BC"/>
    <w:rsid w:val="002624B6"/>
    <w:rsid w:val="0027032F"/>
    <w:rsid w:val="00282442"/>
    <w:rsid w:val="00286708"/>
    <w:rsid w:val="00292EAA"/>
    <w:rsid w:val="00292FAC"/>
    <w:rsid w:val="0029302D"/>
    <w:rsid w:val="00293BB4"/>
    <w:rsid w:val="00295640"/>
    <w:rsid w:val="002A2F1C"/>
    <w:rsid w:val="002A4EEB"/>
    <w:rsid w:val="002A7049"/>
    <w:rsid w:val="002A79D6"/>
    <w:rsid w:val="002B0B7E"/>
    <w:rsid w:val="002B21F2"/>
    <w:rsid w:val="002B3A6D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AAC"/>
    <w:rsid w:val="002E7CDA"/>
    <w:rsid w:val="002F22EF"/>
    <w:rsid w:val="002F5D99"/>
    <w:rsid w:val="002F623E"/>
    <w:rsid w:val="003011A6"/>
    <w:rsid w:val="0030243E"/>
    <w:rsid w:val="00304C53"/>
    <w:rsid w:val="00313AEB"/>
    <w:rsid w:val="003142A3"/>
    <w:rsid w:val="00316E57"/>
    <w:rsid w:val="00320B45"/>
    <w:rsid w:val="003222C8"/>
    <w:rsid w:val="00324E67"/>
    <w:rsid w:val="00326B7C"/>
    <w:rsid w:val="0033074A"/>
    <w:rsid w:val="00331EA9"/>
    <w:rsid w:val="00332068"/>
    <w:rsid w:val="00340BF7"/>
    <w:rsid w:val="003417D4"/>
    <w:rsid w:val="003443F7"/>
    <w:rsid w:val="0034473B"/>
    <w:rsid w:val="0034787C"/>
    <w:rsid w:val="00350436"/>
    <w:rsid w:val="0035462C"/>
    <w:rsid w:val="0035478C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FDF"/>
    <w:rsid w:val="00385CE4"/>
    <w:rsid w:val="00390608"/>
    <w:rsid w:val="00391060"/>
    <w:rsid w:val="00392EC4"/>
    <w:rsid w:val="0039469C"/>
    <w:rsid w:val="00394944"/>
    <w:rsid w:val="003973CA"/>
    <w:rsid w:val="00397DB0"/>
    <w:rsid w:val="003A0722"/>
    <w:rsid w:val="003A2CC2"/>
    <w:rsid w:val="003A2FA1"/>
    <w:rsid w:val="003B2914"/>
    <w:rsid w:val="003B3052"/>
    <w:rsid w:val="003B3B6B"/>
    <w:rsid w:val="003B439F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F1635"/>
    <w:rsid w:val="003F216C"/>
    <w:rsid w:val="003F2687"/>
    <w:rsid w:val="003F35FA"/>
    <w:rsid w:val="004057A5"/>
    <w:rsid w:val="00407D5A"/>
    <w:rsid w:val="0041094F"/>
    <w:rsid w:val="00413892"/>
    <w:rsid w:val="0041646F"/>
    <w:rsid w:val="00417658"/>
    <w:rsid w:val="00421531"/>
    <w:rsid w:val="00423E71"/>
    <w:rsid w:val="00426995"/>
    <w:rsid w:val="00440BAE"/>
    <w:rsid w:val="00440EC7"/>
    <w:rsid w:val="004423CA"/>
    <w:rsid w:val="00442A55"/>
    <w:rsid w:val="00443682"/>
    <w:rsid w:val="00445609"/>
    <w:rsid w:val="00445DAD"/>
    <w:rsid w:val="00453D22"/>
    <w:rsid w:val="00455AC9"/>
    <w:rsid w:val="00455D0C"/>
    <w:rsid w:val="00460B5B"/>
    <w:rsid w:val="0047282D"/>
    <w:rsid w:val="00473B8D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6670"/>
    <w:rsid w:val="004A676C"/>
    <w:rsid w:val="004B30DC"/>
    <w:rsid w:val="004B3258"/>
    <w:rsid w:val="004B57FE"/>
    <w:rsid w:val="004C1A92"/>
    <w:rsid w:val="004C2AD2"/>
    <w:rsid w:val="004C3F7A"/>
    <w:rsid w:val="004C5175"/>
    <w:rsid w:val="004C681E"/>
    <w:rsid w:val="004C7C70"/>
    <w:rsid w:val="004D0B0E"/>
    <w:rsid w:val="004D26C1"/>
    <w:rsid w:val="004D327C"/>
    <w:rsid w:val="004D3524"/>
    <w:rsid w:val="004D4318"/>
    <w:rsid w:val="004D4C1B"/>
    <w:rsid w:val="004D7048"/>
    <w:rsid w:val="004E0E71"/>
    <w:rsid w:val="004E24B4"/>
    <w:rsid w:val="004F20B6"/>
    <w:rsid w:val="004F5CA9"/>
    <w:rsid w:val="004F7949"/>
    <w:rsid w:val="005011D2"/>
    <w:rsid w:val="00502211"/>
    <w:rsid w:val="00506523"/>
    <w:rsid w:val="00506E5C"/>
    <w:rsid w:val="005110B5"/>
    <w:rsid w:val="00513A29"/>
    <w:rsid w:val="00513CD9"/>
    <w:rsid w:val="00537927"/>
    <w:rsid w:val="005461A1"/>
    <w:rsid w:val="00551AB6"/>
    <w:rsid w:val="00552358"/>
    <w:rsid w:val="00561451"/>
    <w:rsid w:val="00564B97"/>
    <w:rsid w:val="00565B61"/>
    <w:rsid w:val="005679A7"/>
    <w:rsid w:val="005731E0"/>
    <w:rsid w:val="00573C90"/>
    <w:rsid w:val="00585345"/>
    <w:rsid w:val="005870D9"/>
    <w:rsid w:val="005877EC"/>
    <w:rsid w:val="00592173"/>
    <w:rsid w:val="0059482F"/>
    <w:rsid w:val="00597134"/>
    <w:rsid w:val="005A2693"/>
    <w:rsid w:val="005A2F30"/>
    <w:rsid w:val="005A4985"/>
    <w:rsid w:val="005A557D"/>
    <w:rsid w:val="005A59AE"/>
    <w:rsid w:val="005A62E0"/>
    <w:rsid w:val="005A6A29"/>
    <w:rsid w:val="005B240D"/>
    <w:rsid w:val="005B5050"/>
    <w:rsid w:val="005B718A"/>
    <w:rsid w:val="005B7902"/>
    <w:rsid w:val="005C04D6"/>
    <w:rsid w:val="005C0AF6"/>
    <w:rsid w:val="005C22C3"/>
    <w:rsid w:val="005C5586"/>
    <w:rsid w:val="005D35E7"/>
    <w:rsid w:val="005D40C8"/>
    <w:rsid w:val="005E086D"/>
    <w:rsid w:val="005E15BF"/>
    <w:rsid w:val="005E549A"/>
    <w:rsid w:val="005F06BB"/>
    <w:rsid w:val="005F192A"/>
    <w:rsid w:val="005F2F41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F6"/>
    <w:rsid w:val="00627E7D"/>
    <w:rsid w:val="006322B4"/>
    <w:rsid w:val="006345AB"/>
    <w:rsid w:val="00635BA9"/>
    <w:rsid w:val="00641B4E"/>
    <w:rsid w:val="00641C2A"/>
    <w:rsid w:val="00642555"/>
    <w:rsid w:val="0064722F"/>
    <w:rsid w:val="00647970"/>
    <w:rsid w:val="00651CFB"/>
    <w:rsid w:val="00652EFD"/>
    <w:rsid w:val="006540A4"/>
    <w:rsid w:val="00655FB7"/>
    <w:rsid w:val="006635B8"/>
    <w:rsid w:val="006641F8"/>
    <w:rsid w:val="00670008"/>
    <w:rsid w:val="00670752"/>
    <w:rsid w:val="00672411"/>
    <w:rsid w:val="0067289F"/>
    <w:rsid w:val="00677046"/>
    <w:rsid w:val="0068559F"/>
    <w:rsid w:val="006902C3"/>
    <w:rsid w:val="00691560"/>
    <w:rsid w:val="00693B9D"/>
    <w:rsid w:val="00695C0A"/>
    <w:rsid w:val="00696969"/>
    <w:rsid w:val="006A10FB"/>
    <w:rsid w:val="006A2E25"/>
    <w:rsid w:val="006A4924"/>
    <w:rsid w:val="006B2792"/>
    <w:rsid w:val="006B6B2E"/>
    <w:rsid w:val="006C1D97"/>
    <w:rsid w:val="006C34AE"/>
    <w:rsid w:val="006C654A"/>
    <w:rsid w:val="006C7DCD"/>
    <w:rsid w:val="006D029A"/>
    <w:rsid w:val="006D2DAE"/>
    <w:rsid w:val="006D3AE7"/>
    <w:rsid w:val="006E4135"/>
    <w:rsid w:val="006E7BA0"/>
    <w:rsid w:val="006F3C4A"/>
    <w:rsid w:val="006F4B82"/>
    <w:rsid w:val="006F52ED"/>
    <w:rsid w:val="006F561A"/>
    <w:rsid w:val="006F6463"/>
    <w:rsid w:val="006F66E2"/>
    <w:rsid w:val="006F6A56"/>
    <w:rsid w:val="0070278F"/>
    <w:rsid w:val="007055D0"/>
    <w:rsid w:val="00717CD5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83D10"/>
    <w:rsid w:val="00786572"/>
    <w:rsid w:val="00792D62"/>
    <w:rsid w:val="00793102"/>
    <w:rsid w:val="007A14D1"/>
    <w:rsid w:val="007A38A5"/>
    <w:rsid w:val="007B440A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71CF"/>
    <w:rsid w:val="007F08A5"/>
    <w:rsid w:val="007F0A9A"/>
    <w:rsid w:val="007F7E52"/>
    <w:rsid w:val="007F7EE4"/>
    <w:rsid w:val="0080008E"/>
    <w:rsid w:val="00802E00"/>
    <w:rsid w:val="008117A7"/>
    <w:rsid w:val="00813EF6"/>
    <w:rsid w:val="00814D91"/>
    <w:rsid w:val="00817990"/>
    <w:rsid w:val="00825C7B"/>
    <w:rsid w:val="00825CA4"/>
    <w:rsid w:val="00826885"/>
    <w:rsid w:val="00834CC9"/>
    <w:rsid w:val="00836331"/>
    <w:rsid w:val="0083706F"/>
    <w:rsid w:val="0083783D"/>
    <w:rsid w:val="00851146"/>
    <w:rsid w:val="00853320"/>
    <w:rsid w:val="0085457A"/>
    <w:rsid w:val="00861283"/>
    <w:rsid w:val="00864445"/>
    <w:rsid w:val="008765E7"/>
    <w:rsid w:val="00876C77"/>
    <w:rsid w:val="00876F22"/>
    <w:rsid w:val="00883A03"/>
    <w:rsid w:val="00884C29"/>
    <w:rsid w:val="00885DC3"/>
    <w:rsid w:val="00885DFC"/>
    <w:rsid w:val="00894CF8"/>
    <w:rsid w:val="008975C5"/>
    <w:rsid w:val="008A03C1"/>
    <w:rsid w:val="008A40B4"/>
    <w:rsid w:val="008A41A9"/>
    <w:rsid w:val="008A705D"/>
    <w:rsid w:val="008B2433"/>
    <w:rsid w:val="008B603C"/>
    <w:rsid w:val="008D05A1"/>
    <w:rsid w:val="008D49B5"/>
    <w:rsid w:val="008E515D"/>
    <w:rsid w:val="008F08E2"/>
    <w:rsid w:val="008F1A7F"/>
    <w:rsid w:val="008F2F4B"/>
    <w:rsid w:val="008F31A1"/>
    <w:rsid w:val="008F7F10"/>
    <w:rsid w:val="0090051F"/>
    <w:rsid w:val="00901ADC"/>
    <w:rsid w:val="00906FBE"/>
    <w:rsid w:val="009112DA"/>
    <w:rsid w:val="00912ADD"/>
    <w:rsid w:val="0091346E"/>
    <w:rsid w:val="00913E63"/>
    <w:rsid w:val="00920633"/>
    <w:rsid w:val="00924E6F"/>
    <w:rsid w:val="009319BA"/>
    <w:rsid w:val="00937001"/>
    <w:rsid w:val="0094005D"/>
    <w:rsid w:val="009405F7"/>
    <w:rsid w:val="009413BB"/>
    <w:rsid w:val="00942F07"/>
    <w:rsid w:val="00943112"/>
    <w:rsid w:val="00944C07"/>
    <w:rsid w:val="0095293F"/>
    <w:rsid w:val="00952955"/>
    <w:rsid w:val="0095594F"/>
    <w:rsid w:val="00956974"/>
    <w:rsid w:val="00963CFB"/>
    <w:rsid w:val="00964462"/>
    <w:rsid w:val="009707A6"/>
    <w:rsid w:val="00971A69"/>
    <w:rsid w:val="009723A7"/>
    <w:rsid w:val="009752BA"/>
    <w:rsid w:val="00975A15"/>
    <w:rsid w:val="009762E3"/>
    <w:rsid w:val="0098153F"/>
    <w:rsid w:val="009829C4"/>
    <w:rsid w:val="009A21A0"/>
    <w:rsid w:val="009A26B9"/>
    <w:rsid w:val="009A3B41"/>
    <w:rsid w:val="009A45B3"/>
    <w:rsid w:val="009A5B58"/>
    <w:rsid w:val="009B01B3"/>
    <w:rsid w:val="009B368E"/>
    <w:rsid w:val="009B70DB"/>
    <w:rsid w:val="009C04B0"/>
    <w:rsid w:val="009C363A"/>
    <w:rsid w:val="009C4B6B"/>
    <w:rsid w:val="009C53E3"/>
    <w:rsid w:val="009D0EE0"/>
    <w:rsid w:val="009D34D2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7AD2"/>
    <w:rsid w:val="00A11253"/>
    <w:rsid w:val="00A164BB"/>
    <w:rsid w:val="00A174E3"/>
    <w:rsid w:val="00A2260A"/>
    <w:rsid w:val="00A22616"/>
    <w:rsid w:val="00A23F19"/>
    <w:rsid w:val="00A240C8"/>
    <w:rsid w:val="00A250B5"/>
    <w:rsid w:val="00A25111"/>
    <w:rsid w:val="00A257F8"/>
    <w:rsid w:val="00A264DC"/>
    <w:rsid w:val="00A30310"/>
    <w:rsid w:val="00A303DE"/>
    <w:rsid w:val="00A40F58"/>
    <w:rsid w:val="00A4278B"/>
    <w:rsid w:val="00A43470"/>
    <w:rsid w:val="00A446A8"/>
    <w:rsid w:val="00A45360"/>
    <w:rsid w:val="00A522C5"/>
    <w:rsid w:val="00A53725"/>
    <w:rsid w:val="00A56777"/>
    <w:rsid w:val="00A56CE0"/>
    <w:rsid w:val="00A57155"/>
    <w:rsid w:val="00A57756"/>
    <w:rsid w:val="00A60CB9"/>
    <w:rsid w:val="00A703D2"/>
    <w:rsid w:val="00A70719"/>
    <w:rsid w:val="00A75139"/>
    <w:rsid w:val="00A759F1"/>
    <w:rsid w:val="00A77175"/>
    <w:rsid w:val="00A81ED3"/>
    <w:rsid w:val="00A85047"/>
    <w:rsid w:val="00A851B3"/>
    <w:rsid w:val="00A868AA"/>
    <w:rsid w:val="00A90AA4"/>
    <w:rsid w:val="00A93813"/>
    <w:rsid w:val="00A94ACB"/>
    <w:rsid w:val="00A96EDD"/>
    <w:rsid w:val="00A97CC1"/>
    <w:rsid w:val="00AA0B09"/>
    <w:rsid w:val="00AA1526"/>
    <w:rsid w:val="00AA5E0E"/>
    <w:rsid w:val="00AA6AD2"/>
    <w:rsid w:val="00AB0712"/>
    <w:rsid w:val="00AB0A33"/>
    <w:rsid w:val="00AB20BE"/>
    <w:rsid w:val="00AB24EF"/>
    <w:rsid w:val="00AB3ED3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F2F77"/>
    <w:rsid w:val="00B00192"/>
    <w:rsid w:val="00B00EF3"/>
    <w:rsid w:val="00B02317"/>
    <w:rsid w:val="00B0431C"/>
    <w:rsid w:val="00B05D31"/>
    <w:rsid w:val="00B062DE"/>
    <w:rsid w:val="00B11F59"/>
    <w:rsid w:val="00B12238"/>
    <w:rsid w:val="00B12E59"/>
    <w:rsid w:val="00B161FF"/>
    <w:rsid w:val="00B17939"/>
    <w:rsid w:val="00B21DA1"/>
    <w:rsid w:val="00B31D16"/>
    <w:rsid w:val="00B370F4"/>
    <w:rsid w:val="00B37C56"/>
    <w:rsid w:val="00B40221"/>
    <w:rsid w:val="00B44AA4"/>
    <w:rsid w:val="00B46D05"/>
    <w:rsid w:val="00B51D63"/>
    <w:rsid w:val="00B5369B"/>
    <w:rsid w:val="00B56990"/>
    <w:rsid w:val="00B62B0C"/>
    <w:rsid w:val="00B70224"/>
    <w:rsid w:val="00B70A5D"/>
    <w:rsid w:val="00B7539A"/>
    <w:rsid w:val="00B7596B"/>
    <w:rsid w:val="00B801BF"/>
    <w:rsid w:val="00B83052"/>
    <w:rsid w:val="00B8372C"/>
    <w:rsid w:val="00B85486"/>
    <w:rsid w:val="00B85512"/>
    <w:rsid w:val="00B87CE4"/>
    <w:rsid w:val="00B91CA7"/>
    <w:rsid w:val="00B97318"/>
    <w:rsid w:val="00BA27CD"/>
    <w:rsid w:val="00BA607C"/>
    <w:rsid w:val="00BB0949"/>
    <w:rsid w:val="00BB1740"/>
    <w:rsid w:val="00BB7AD1"/>
    <w:rsid w:val="00BB7F72"/>
    <w:rsid w:val="00BC6066"/>
    <w:rsid w:val="00BC65EC"/>
    <w:rsid w:val="00BC78DA"/>
    <w:rsid w:val="00BD68C4"/>
    <w:rsid w:val="00BF143D"/>
    <w:rsid w:val="00BF65AF"/>
    <w:rsid w:val="00C00824"/>
    <w:rsid w:val="00C010B0"/>
    <w:rsid w:val="00C02A54"/>
    <w:rsid w:val="00C05F84"/>
    <w:rsid w:val="00C07600"/>
    <w:rsid w:val="00C07BA7"/>
    <w:rsid w:val="00C24884"/>
    <w:rsid w:val="00C30D41"/>
    <w:rsid w:val="00C33894"/>
    <w:rsid w:val="00C37722"/>
    <w:rsid w:val="00C40D5E"/>
    <w:rsid w:val="00C42D60"/>
    <w:rsid w:val="00C45BB0"/>
    <w:rsid w:val="00C46ADB"/>
    <w:rsid w:val="00C47CB3"/>
    <w:rsid w:val="00C50F5F"/>
    <w:rsid w:val="00C52F2B"/>
    <w:rsid w:val="00C55655"/>
    <w:rsid w:val="00C62341"/>
    <w:rsid w:val="00C67811"/>
    <w:rsid w:val="00C67F31"/>
    <w:rsid w:val="00C73060"/>
    <w:rsid w:val="00C81083"/>
    <w:rsid w:val="00C8420F"/>
    <w:rsid w:val="00C86604"/>
    <w:rsid w:val="00C908B6"/>
    <w:rsid w:val="00C953D7"/>
    <w:rsid w:val="00C96BBE"/>
    <w:rsid w:val="00C978DB"/>
    <w:rsid w:val="00CA20E7"/>
    <w:rsid w:val="00CA7C02"/>
    <w:rsid w:val="00CB1842"/>
    <w:rsid w:val="00CB1B9D"/>
    <w:rsid w:val="00CB2511"/>
    <w:rsid w:val="00CC4F1F"/>
    <w:rsid w:val="00CD35DB"/>
    <w:rsid w:val="00CD4E36"/>
    <w:rsid w:val="00CD7161"/>
    <w:rsid w:val="00CE248E"/>
    <w:rsid w:val="00CF0E43"/>
    <w:rsid w:val="00CF0E96"/>
    <w:rsid w:val="00CF2848"/>
    <w:rsid w:val="00CF401D"/>
    <w:rsid w:val="00CF5E91"/>
    <w:rsid w:val="00CF6463"/>
    <w:rsid w:val="00CF74A2"/>
    <w:rsid w:val="00D00BB8"/>
    <w:rsid w:val="00D01FBA"/>
    <w:rsid w:val="00D048CB"/>
    <w:rsid w:val="00D10346"/>
    <w:rsid w:val="00D11F0F"/>
    <w:rsid w:val="00D14F50"/>
    <w:rsid w:val="00D15431"/>
    <w:rsid w:val="00D154F5"/>
    <w:rsid w:val="00D20081"/>
    <w:rsid w:val="00D2376A"/>
    <w:rsid w:val="00D30B6B"/>
    <w:rsid w:val="00D33A75"/>
    <w:rsid w:val="00D35DEE"/>
    <w:rsid w:val="00D35FE7"/>
    <w:rsid w:val="00D36348"/>
    <w:rsid w:val="00D3716A"/>
    <w:rsid w:val="00D47962"/>
    <w:rsid w:val="00D503D1"/>
    <w:rsid w:val="00D50949"/>
    <w:rsid w:val="00D53D45"/>
    <w:rsid w:val="00D548DD"/>
    <w:rsid w:val="00D555D1"/>
    <w:rsid w:val="00D56B66"/>
    <w:rsid w:val="00D60660"/>
    <w:rsid w:val="00D6419B"/>
    <w:rsid w:val="00D668D3"/>
    <w:rsid w:val="00D679E2"/>
    <w:rsid w:val="00D7353A"/>
    <w:rsid w:val="00D7358B"/>
    <w:rsid w:val="00D81E81"/>
    <w:rsid w:val="00D82C5D"/>
    <w:rsid w:val="00D82E5E"/>
    <w:rsid w:val="00D83A06"/>
    <w:rsid w:val="00D90463"/>
    <w:rsid w:val="00D94015"/>
    <w:rsid w:val="00D94882"/>
    <w:rsid w:val="00D9536F"/>
    <w:rsid w:val="00DA0DBB"/>
    <w:rsid w:val="00DA2AA4"/>
    <w:rsid w:val="00DA67AA"/>
    <w:rsid w:val="00DB1960"/>
    <w:rsid w:val="00DB53A4"/>
    <w:rsid w:val="00DB607B"/>
    <w:rsid w:val="00DC0534"/>
    <w:rsid w:val="00DC1796"/>
    <w:rsid w:val="00DC1A43"/>
    <w:rsid w:val="00DC3816"/>
    <w:rsid w:val="00DC7A39"/>
    <w:rsid w:val="00DD37F8"/>
    <w:rsid w:val="00DD3F4C"/>
    <w:rsid w:val="00DD4477"/>
    <w:rsid w:val="00DD4660"/>
    <w:rsid w:val="00DD66D2"/>
    <w:rsid w:val="00DD7CAB"/>
    <w:rsid w:val="00DE304B"/>
    <w:rsid w:val="00DF1BA5"/>
    <w:rsid w:val="00DF1ECC"/>
    <w:rsid w:val="00DF3250"/>
    <w:rsid w:val="00DF3D07"/>
    <w:rsid w:val="00DF6FC5"/>
    <w:rsid w:val="00E00C47"/>
    <w:rsid w:val="00E06069"/>
    <w:rsid w:val="00E11B0E"/>
    <w:rsid w:val="00E136C0"/>
    <w:rsid w:val="00E13BC9"/>
    <w:rsid w:val="00E150E4"/>
    <w:rsid w:val="00E16BF9"/>
    <w:rsid w:val="00E210D0"/>
    <w:rsid w:val="00E25422"/>
    <w:rsid w:val="00E273F9"/>
    <w:rsid w:val="00E27712"/>
    <w:rsid w:val="00E32D57"/>
    <w:rsid w:val="00E44103"/>
    <w:rsid w:val="00E4490F"/>
    <w:rsid w:val="00E44B2A"/>
    <w:rsid w:val="00E515B3"/>
    <w:rsid w:val="00E51CDF"/>
    <w:rsid w:val="00E51D6D"/>
    <w:rsid w:val="00E52301"/>
    <w:rsid w:val="00E562F6"/>
    <w:rsid w:val="00E564CB"/>
    <w:rsid w:val="00E56692"/>
    <w:rsid w:val="00E60750"/>
    <w:rsid w:val="00E63094"/>
    <w:rsid w:val="00E63B36"/>
    <w:rsid w:val="00E66A6B"/>
    <w:rsid w:val="00E6753A"/>
    <w:rsid w:val="00E677BD"/>
    <w:rsid w:val="00E6786A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5F06"/>
    <w:rsid w:val="00E914A8"/>
    <w:rsid w:val="00E939E6"/>
    <w:rsid w:val="00EB0CDA"/>
    <w:rsid w:val="00EB3700"/>
    <w:rsid w:val="00EC084E"/>
    <w:rsid w:val="00EC3463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C53"/>
    <w:rsid w:val="00EE5281"/>
    <w:rsid w:val="00EE6679"/>
    <w:rsid w:val="00EE7FA0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58D2"/>
    <w:rsid w:val="00F27030"/>
    <w:rsid w:val="00F30090"/>
    <w:rsid w:val="00F31B0C"/>
    <w:rsid w:val="00F32B9C"/>
    <w:rsid w:val="00F375BF"/>
    <w:rsid w:val="00F41D2B"/>
    <w:rsid w:val="00F434DC"/>
    <w:rsid w:val="00F4487F"/>
    <w:rsid w:val="00F4584C"/>
    <w:rsid w:val="00F47BFB"/>
    <w:rsid w:val="00F507B4"/>
    <w:rsid w:val="00F523A3"/>
    <w:rsid w:val="00F61536"/>
    <w:rsid w:val="00F67C13"/>
    <w:rsid w:val="00F71C13"/>
    <w:rsid w:val="00F72340"/>
    <w:rsid w:val="00F7617E"/>
    <w:rsid w:val="00F76CC4"/>
    <w:rsid w:val="00F8446C"/>
    <w:rsid w:val="00F85606"/>
    <w:rsid w:val="00F8590F"/>
    <w:rsid w:val="00F86F1E"/>
    <w:rsid w:val="00F876A3"/>
    <w:rsid w:val="00F87E9C"/>
    <w:rsid w:val="00F92226"/>
    <w:rsid w:val="00F9290C"/>
    <w:rsid w:val="00F93B59"/>
    <w:rsid w:val="00F95694"/>
    <w:rsid w:val="00FA14BA"/>
    <w:rsid w:val="00FA3181"/>
    <w:rsid w:val="00FA32C8"/>
    <w:rsid w:val="00FA38FB"/>
    <w:rsid w:val="00FA4F4D"/>
    <w:rsid w:val="00FA7292"/>
    <w:rsid w:val="00FA7D0D"/>
    <w:rsid w:val="00FB09C3"/>
    <w:rsid w:val="00FB11F7"/>
    <w:rsid w:val="00FB2620"/>
    <w:rsid w:val="00FB4CB1"/>
    <w:rsid w:val="00FC06DB"/>
    <w:rsid w:val="00FC1EC1"/>
    <w:rsid w:val="00FC4248"/>
    <w:rsid w:val="00FC4BCE"/>
    <w:rsid w:val="00FC5259"/>
    <w:rsid w:val="00FC726A"/>
    <w:rsid w:val="00FD0352"/>
    <w:rsid w:val="00FD37BF"/>
    <w:rsid w:val="00FD5723"/>
    <w:rsid w:val="00FD77E2"/>
    <w:rsid w:val="00FE2931"/>
    <w:rsid w:val="00FE3F4D"/>
    <w:rsid w:val="00FF0D29"/>
    <w:rsid w:val="00FF0F2B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1115C2"/>
    <w:pPr>
      <w:widowControl w:val="0"/>
      <w:suppressAutoHyphens/>
      <w:spacing w:line="317" w:lineRule="exact"/>
      <w:ind w:firstLine="744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1115C2"/>
    <w:pPr>
      <w:widowControl w:val="0"/>
      <w:suppressAutoHyphens/>
      <w:spacing w:line="317" w:lineRule="exact"/>
      <w:ind w:firstLine="744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914E-151B-4FB3-AB41-463D434C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76</Pages>
  <Words>18347</Words>
  <Characters>104578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243</cp:revision>
  <cp:lastPrinted>2021-02-04T07:52:00Z</cp:lastPrinted>
  <dcterms:created xsi:type="dcterms:W3CDTF">2020-08-24T14:13:00Z</dcterms:created>
  <dcterms:modified xsi:type="dcterms:W3CDTF">2021-03-10T08:44:00Z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