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     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    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both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от 10.11.2020                                                                                                    № 351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4"/>
          <w:szCs w:val="24"/>
          <w:lang w:val="ru-RU" w:eastAsia="ru-RU" w:bidi="ar-SA"/>
        </w:rPr>
        <w:t>станица Кавказская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bookmarkStart w:id="0" w:name="__DdeLink__483_709051690"/>
      <w:bookmarkStart w:id="1" w:name="__DdeLink__857_1841385903"/>
      <w:bookmarkStart w:id="2" w:name="__DdeLink__319_139537562"/>
      <w:bookmarkStart w:id="3" w:name="__DdeLink__231_289738000"/>
      <w:r>
        <w:rPr>
          <w:rFonts w:cs="Times New Roman" w:ascii="Times New Roman" w:hAnsi="Times New Roman"/>
          <w:b/>
          <w:bCs/>
          <w:sz w:val="28"/>
          <w:szCs w:val="28"/>
        </w:rPr>
        <w:t>Об  опубликовании проекта  бюджета 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 xml:space="preserve"> , о </w:t>
      </w:r>
      <w:bookmarkEnd w:id="0"/>
      <w:bookmarkEnd w:id="1"/>
      <w:bookmarkEnd w:id="2"/>
      <w:r>
        <w:rPr>
          <w:rFonts w:cs="Times New Roman" w:ascii="Times New Roman" w:hAnsi="Times New Roman"/>
          <w:b/>
          <w:bCs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«Вести Кавказской» проект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год, внесенный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год»  на 15.00 часов по московскому времени 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ноября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публичные слушания в здании муниципального бюджетного   учреждения   культуры   Дом 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 № 5     администрации  Кавказского 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«10»       11   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u w:val="single"/>
          <w:lang w:val="ru-RU" w:eastAsia="ru-RU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>г. №_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351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вопросу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Мясищева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Фролова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Кравченко 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</w:t>
            </w: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Application>LibreOffice/7.0.0.3$Windows_x86 LibreOffice_project/8061b3e9204bef6b321a21033174034a5e2ea88e</Application>
  <Pages>3</Pages>
  <Words>413</Words>
  <Characters>2843</Characters>
  <CharactersWithSpaces>3590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2020-11-10T15:53:54Z</cp:lastPrinted>
  <dcterms:modified xsi:type="dcterms:W3CDTF">2020-11-11T10:32:41Z</dcterms:modified>
  <cp:revision>24</cp:revision>
  <dc:subject/>
  <dc:title/>
</cp:coreProperties>
</file>