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emf" ContentType="image/x-emf"/>
  <Override PartName="/word/media/image2.emf" ContentType="image/x-e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2018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- подпрограмма «Развитие мер социальной поддержки отдельных категорий граждан на 2015-2020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В течении 2018 года в муниципальную программу внесено</w:t>
        <w:tab/>
        <w:t>3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 и пенсионерам.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2018 году был предусмотрен в сумме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274,8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 xml:space="preserve">-  за счет средств местного бюджета –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274,8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 (100 %).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Исходя из того, что эффективность реализации муниципальной программы высокая, считаем целесообразным признать выполнение муниципальной программы «Социальная поддержка граждан» в 2018 году высокой и продолжать ее реализовывать в 2019 году.</w:t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2015-2020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2018 году за счет средств местного бюджета был предусмотрен в сумме 183,3 тыс. рублей,  исполнено 183,3 тыс. руб.  (100 %).</w:t>
      </w:r>
    </w:p>
    <w:p>
      <w:pPr>
        <w:pStyle w:val="Style14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2018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color w:val="800000"/>
          <w:sz w:val="28"/>
          <w:shd w:fill="FFFFFF" w:val="clear"/>
        </w:rPr>
        <w:t>коэффициент эффективности реализации подпрограммы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2015-2020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2018 год предусмотрен в сумме  91,5 тыс. рублей, освоено 91,4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1210 человек. Оказана  материальная поддержка 40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ветеранам ВОВ, инвалидам,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 направленные на социальную поддержку инвалидов и 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поддержку Кавказского хуторского казачьего общества.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подпрограммы может быть признана высокая,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  <w:t xml:space="preserve"> 1,0</w:t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>Начальник общего отдела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>Кавказского сельского поселения                                                      Е.В.Мережко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2015-2020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=183,3/183,3=1,0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132.65pt;height:59.15pt" o:ole="">
            <v:imagedata r:id="rId3" o:title=""/>
          </v:shape>
          <o:OLEObject Type="Embed" ProgID="StaticMetafile" ShapeID="ole_rId2" DrawAspect="Content" ObjectID="_222625357" r:id="rId2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2015-2020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7/7 = 1,0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=91,4/91,5=0,99,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1,0/0,99=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Зпп/пп=5/5=1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4" style="width:140.65pt;height:64.05pt" o:ole="">
            <v:imagedata r:id="rId5" o:title=""/>
          </v:shape>
          <o:OLEObject Type="Embed" ProgID="StaticMetafile" ShapeID="ole_rId4" DrawAspect="Content" ObjectID="_64023482" r:id="rId4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yellow"/>
        </w:rPr>
      </w:pPr>
      <w:r>
        <w:rPr>
          <w:rFonts w:ascii="Times New Roman" w:hAnsi="Times New Roman"/>
          <w:sz w:val="28"/>
          <w:highlight w:val="white"/>
        </w:rPr>
        <w:t>ЭРп/п = СРп/п*Эис = 1*1=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СРгп = 1/1 = 1,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Ф=183,3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274,8</w:t>
      </w:r>
      <w:r>
        <w:rPr>
          <w:rFonts w:eastAsia="Times New Roman" w:cs="Times New Roman" w:ascii="Times New Roman" w:hAnsi="Times New Roman"/>
          <w:sz w:val="24"/>
          <w:szCs w:val="24"/>
        </w:rPr>
        <w:t>=0,7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Ф=91,5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274,8=0,3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ЭРгп=0,5*1+0,5*1*1,0=1,0</w:t>
      </w:r>
    </w:p>
    <w:p>
      <w:pPr>
        <w:pStyle w:val="Normal"/>
        <w:rPr/>
      </w:pPr>
      <w:bookmarkStart w:id="0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18708</TotalTime>
  <Application>LibreOffice/5.2.2.2$Windows_x86 LibreOffice_project/8f96e87c890bf8fa77463cd4b640a2312823f3ad</Application>
  <Pages>7</Pages>
  <Words>1292</Words>
  <Characters>9722</Characters>
  <CharactersWithSpaces>11101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2019-01-19T11:52:25Z</cp:lastPrinted>
  <dcterms:modified xsi:type="dcterms:W3CDTF">2019-01-19T11:58:04Z</dcterms:modified>
  <cp:revision>46</cp:revision>
  <dc:subject/>
  <dc:title/>
</cp:coreProperties>
</file>