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585"/>
        <w:gridCol w:w="2533"/>
        <w:gridCol w:w="941"/>
        <w:gridCol w:w="1955"/>
        <w:gridCol w:w="1967"/>
        <w:gridCol w:w="1188"/>
        <w:gridCol w:w="1092"/>
        <w:gridCol w:w="1352"/>
        <w:gridCol w:w="1449"/>
        <w:gridCol w:w="1615"/>
      </w:tblGrid>
      <w:tr w:rsidR="000A1BCD" w:rsidTr="002D12E0">
        <w:trPr>
          <w:cantSplit/>
        </w:trPr>
        <w:tc>
          <w:tcPr>
            <w:tcW w:w="14677" w:type="dxa"/>
            <w:gridSpan w:val="10"/>
            <w:shd w:val="clear" w:color="auto" w:fill="auto"/>
            <w:vAlign w:val="bottom"/>
          </w:tcPr>
          <w:p w:rsidR="000A1BCD" w:rsidRDefault="002D12E0">
            <w:pPr>
              <w:keepNext/>
              <w:pageBreakBefore/>
              <w:ind w:left="10680"/>
              <w:jc w:val="center"/>
            </w:pPr>
            <w:r>
              <w:rPr>
                <w:bCs/>
                <w:color w:val="000000"/>
              </w:rPr>
              <w:t>ПРИЛОЖЕНИЕ № 2</w:t>
            </w:r>
          </w:p>
          <w:p w:rsidR="000A1BCD" w:rsidRDefault="000A1BCD">
            <w:pPr>
              <w:ind w:left="10240"/>
              <w:jc w:val="center"/>
              <w:rPr>
                <w:bCs/>
                <w:color w:val="000000"/>
              </w:rPr>
            </w:pPr>
          </w:p>
          <w:p w:rsidR="000A1BCD" w:rsidRDefault="000A1BCD">
            <w:pPr>
              <w:ind w:left="10680"/>
              <w:jc w:val="center"/>
              <w:rPr>
                <w:bCs/>
                <w:color w:val="000000"/>
              </w:rPr>
            </w:pPr>
          </w:p>
          <w:p w:rsidR="000A1BCD" w:rsidRDefault="002D12E0">
            <w:pPr>
              <w:ind w:left="10680"/>
              <w:jc w:val="center"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 w:rsidR="000A1BCD" w:rsidRDefault="002D12E0">
            <w:pPr>
              <w:ind w:left="10680"/>
              <w:jc w:val="center"/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0A1BCD" w:rsidRDefault="002D12E0">
            <w:pPr>
              <w:ind w:left="10680"/>
              <w:jc w:val="center"/>
            </w:pPr>
            <w:r>
              <w:rPr>
                <w:color w:val="000000"/>
              </w:rPr>
              <w:t>следующего за отчетным</w:t>
            </w:r>
          </w:p>
          <w:p w:rsidR="000A1BCD" w:rsidRDefault="000A1BCD">
            <w:pPr>
              <w:jc w:val="center"/>
              <w:rPr>
                <w:b/>
                <w:bCs/>
                <w:color w:val="000000"/>
              </w:rPr>
            </w:pPr>
          </w:p>
          <w:p w:rsidR="000A1BCD" w:rsidRDefault="002D12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Отчет об исполнении финансировании муниципальной программы</w:t>
            </w:r>
          </w:p>
        </w:tc>
      </w:tr>
      <w:tr w:rsidR="000A1BCD" w:rsidTr="002D12E0">
        <w:trPr>
          <w:cantSplit/>
        </w:trPr>
        <w:tc>
          <w:tcPr>
            <w:tcW w:w="14677" w:type="dxa"/>
            <w:gridSpan w:val="10"/>
            <w:shd w:val="clear" w:color="auto" w:fill="auto"/>
            <w:vAlign w:val="bottom"/>
          </w:tcPr>
          <w:p w:rsidR="000A1BCD" w:rsidRDefault="002D12E0">
            <w:pPr>
              <w:keepNext/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 w:rsidR="000A1BCD" w:rsidTr="002D12E0">
        <w:trPr>
          <w:cantSplit/>
        </w:trPr>
        <w:tc>
          <w:tcPr>
            <w:tcW w:w="14677" w:type="dxa"/>
            <w:gridSpan w:val="10"/>
            <w:shd w:val="clear" w:color="auto" w:fill="auto"/>
            <w:vAlign w:val="bottom"/>
          </w:tcPr>
          <w:p w:rsidR="000A1BCD" w:rsidRDefault="002D12E0">
            <w:pPr>
              <w:keepNext/>
              <w:jc w:val="center"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0A1BCD" w:rsidTr="002D12E0">
        <w:trPr>
          <w:cantSplit/>
        </w:trPr>
        <w:tc>
          <w:tcPr>
            <w:tcW w:w="14677" w:type="dxa"/>
            <w:gridSpan w:val="10"/>
            <w:shd w:val="clear" w:color="auto" w:fill="auto"/>
            <w:vAlign w:val="bottom"/>
          </w:tcPr>
          <w:p w:rsidR="000A1BCD" w:rsidRDefault="002D12E0">
            <w:pPr>
              <w:keepNext/>
              <w:jc w:val="center"/>
            </w:pPr>
            <w:r>
              <w:rPr>
                <w:color w:val="000000"/>
              </w:rPr>
              <w:t>За _</w:t>
            </w:r>
            <w:r>
              <w:rPr>
                <w:b/>
                <w:bCs/>
                <w:i/>
                <w:iCs/>
                <w:color w:val="000000"/>
              </w:rPr>
              <w:t>_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2018 год</w:t>
            </w:r>
            <w:r>
              <w:rPr>
                <w:color w:val="000000"/>
              </w:rPr>
              <w:t>_____</w:t>
            </w:r>
          </w:p>
        </w:tc>
      </w:tr>
      <w:tr w:rsidR="000A1BCD" w:rsidTr="002D12E0">
        <w:trPr>
          <w:cantSplit/>
        </w:trPr>
        <w:tc>
          <w:tcPr>
            <w:tcW w:w="1467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BCD" w:rsidRDefault="002D12E0">
            <w:pPr>
              <w:keepNext/>
              <w:jc w:val="center"/>
            </w:pPr>
            <w:r>
              <w:rPr>
                <w:color w:val="000000"/>
              </w:rPr>
              <w:t>(1 квартал, полугодие, 9 месяцев, год)</w:t>
            </w:r>
          </w:p>
          <w:p w:rsidR="000A1BCD" w:rsidRDefault="000A1BCD">
            <w:pPr>
              <w:jc w:val="center"/>
              <w:rPr>
                <w:color w:val="000000"/>
              </w:rPr>
            </w:pPr>
          </w:p>
          <w:p w:rsidR="000A1BCD" w:rsidRDefault="000A1BCD">
            <w:pPr>
              <w:jc w:val="center"/>
              <w:rPr>
                <w:color w:val="000000"/>
              </w:rPr>
            </w:pPr>
          </w:p>
        </w:tc>
      </w:tr>
      <w:tr w:rsidR="000A1BCD" w:rsidTr="002D12E0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pPr>
              <w:keepNext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proofErr w:type="gramStart"/>
            <w:r>
              <w:rPr>
                <w:color w:val="000000"/>
              </w:rPr>
              <w:t>Наименование  основного</w:t>
            </w:r>
            <w:proofErr w:type="gram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 xml:space="preserve">Объем финансирования, </w:t>
            </w:r>
            <w:proofErr w:type="gramStart"/>
            <w:r>
              <w:rPr>
                <w:color w:val="000000"/>
              </w:rPr>
              <w:t>предусмотренный  программой</w:t>
            </w:r>
            <w:proofErr w:type="gramEnd"/>
            <w:r>
              <w:rPr>
                <w:color w:val="000000"/>
              </w:rPr>
              <w:t xml:space="preserve"> на текущий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 xml:space="preserve">Объем финансирования, </w:t>
            </w:r>
            <w:proofErr w:type="gramStart"/>
            <w:r>
              <w:rPr>
                <w:color w:val="000000"/>
              </w:rPr>
              <w:t>предусмотренны</w:t>
            </w:r>
            <w:r>
              <w:rPr>
                <w:color w:val="000000"/>
              </w:rPr>
              <w:t>й  бюджетом</w:t>
            </w:r>
            <w:proofErr w:type="gramEnd"/>
            <w:r>
              <w:rPr>
                <w:color w:val="000000"/>
              </w:rPr>
              <w:t xml:space="preserve"> (уточненной бюджетной росписью) на текущий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0A1BCD" w:rsidRDefault="002D12E0">
            <w:pPr>
              <w:jc w:val="center"/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0A1BCD" w:rsidTr="002D12E0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pPr>
              <w:keepNext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Основное мероприятие №1</w:t>
            </w:r>
          </w:p>
          <w:p w:rsidR="000A1BCD" w:rsidRDefault="002D12E0">
            <w:bookmarkStart w:id="0" w:name="__DdeLink__10291_576942172"/>
            <w:r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муниципальным имуществом Кавказского сельского поселения</w:t>
            </w:r>
            <w:bookmarkEnd w:id="0"/>
            <w:r>
              <w:rPr>
                <w:b/>
                <w:bCs/>
                <w:color w:val="000000"/>
              </w:rPr>
              <w:t xml:space="preserve"> всего, в том числе по источникам: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 200,0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 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 200,0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150,6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75,3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:rsidR="000A1BCD" w:rsidRDefault="002D12E0">
            <w:r>
              <w:rPr>
                <w:color w:val="000000"/>
              </w:rPr>
              <w:t>Не выполнено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0A1BCD" w:rsidRDefault="002D12E0">
            <w:r>
              <w:rPr>
                <w:color w:val="000000"/>
              </w:rPr>
              <w:t xml:space="preserve">При достижении </w:t>
            </w:r>
          </w:p>
          <w:p w:rsidR="000A1BCD" w:rsidRDefault="002D12E0">
            <w:r>
              <w:rPr>
                <w:color w:val="000000"/>
              </w:rPr>
              <w:t xml:space="preserve">целевых </w:t>
            </w:r>
            <w:proofErr w:type="gramStart"/>
            <w:r>
              <w:rPr>
                <w:color w:val="000000"/>
              </w:rPr>
              <w:t>показателей  не</w:t>
            </w:r>
            <w:proofErr w:type="gramEnd"/>
            <w:r>
              <w:rPr>
                <w:color w:val="000000"/>
              </w:rPr>
              <w:t xml:space="preserve"> потребовалось полного финансового обеспечения, в результате чего образовалась </w:t>
            </w:r>
            <w:r>
              <w:rPr>
                <w:color w:val="000000"/>
              </w:rPr>
              <w:t>экономия</w:t>
            </w:r>
          </w:p>
        </w:tc>
      </w:tr>
      <w:tr w:rsidR="000A1BCD" w:rsidTr="002D12E0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pPr>
              <w:keepNext/>
            </w:pPr>
            <w:r>
              <w:rPr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0,0 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0A1BCD"/>
        </w:tc>
      </w:tr>
      <w:tr w:rsidR="000A1BCD" w:rsidTr="002D12E0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pPr>
              <w:keepNext/>
            </w:pPr>
            <w:r>
              <w:rPr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краевой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0,0 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0A1BCD"/>
        </w:tc>
      </w:tr>
      <w:tr w:rsidR="000A1BCD" w:rsidTr="002D12E0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pPr>
              <w:keepNext/>
            </w:pPr>
            <w:r>
              <w:rPr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местный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200,0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200,0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20,0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10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0A1BCD"/>
        </w:tc>
      </w:tr>
      <w:tr w:rsidR="000A1BCD" w:rsidTr="002D12E0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0A1BCD" w:rsidRDefault="000A1BCD">
            <w:pPr>
              <w:keepNext/>
              <w:rPr>
                <w:color w:val="00000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0,0 </w:t>
            </w:r>
            <w:bookmarkStart w:id="1" w:name="_GoBack"/>
            <w:bookmarkEnd w:id="1"/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0A1BCD"/>
        </w:tc>
      </w:tr>
      <w:tr w:rsidR="002D12E0" w:rsidTr="002D12E0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2D12E0" w:rsidRDefault="002D12E0" w:rsidP="002D12E0">
            <w:pPr>
              <w:keepNext/>
            </w:pPr>
            <w:r>
              <w:rPr>
                <w:color w:val="000000"/>
              </w:rPr>
              <w:t>1.1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2D12E0" w:rsidRDefault="002D12E0" w:rsidP="002D12E0">
            <w:r>
              <w:rPr>
                <w:color w:val="000000"/>
              </w:rPr>
              <w:t>Мероприятие 1.1</w:t>
            </w:r>
          </w:p>
          <w:p w:rsidR="002D12E0" w:rsidRDefault="002D12E0" w:rsidP="002D12E0">
            <w:pPr>
              <w:spacing w:line="216" w:lineRule="auto"/>
            </w:pPr>
            <w:r>
              <w:rPr>
                <w:color w:val="000000"/>
              </w:rPr>
              <w:t xml:space="preserve"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</w:t>
            </w:r>
            <w:proofErr w:type="gramStart"/>
            <w:r>
              <w:rPr>
                <w:color w:val="000000"/>
              </w:rPr>
              <w:t>недвижимости  на</w:t>
            </w:r>
            <w:proofErr w:type="gramEnd"/>
            <w:r>
              <w:rPr>
                <w:color w:val="000000"/>
              </w:rPr>
              <w:t xml:space="preserve"> объекты входящие в состав муниципальной казны)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2D12E0" w:rsidRDefault="002D12E0" w:rsidP="002D12E0">
            <w:r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2D12E0" w:rsidRDefault="002D12E0" w:rsidP="002D12E0">
            <w:r>
              <w:rPr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2D12E0" w:rsidRDefault="002D12E0" w:rsidP="002D12E0"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2D12E0" w:rsidRDefault="002D12E0" w:rsidP="002D12E0"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2D12E0" w:rsidRDefault="002D12E0" w:rsidP="002D12E0">
            <w:r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bottom"/>
          </w:tcPr>
          <w:p w:rsidR="002D12E0" w:rsidRDefault="002D12E0" w:rsidP="002D12E0"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:rsidR="002D12E0" w:rsidRDefault="002D12E0" w:rsidP="002D12E0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2D12E0" w:rsidRDefault="002D12E0" w:rsidP="002D12E0">
            <w:r>
              <w:rPr>
                <w:color w:val="000000"/>
              </w:rPr>
              <w:t> </w:t>
            </w:r>
          </w:p>
        </w:tc>
      </w:tr>
      <w:tr w:rsidR="000A1BCD" w:rsidTr="002D12E0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pPr>
              <w:keepNext/>
            </w:pPr>
            <w:r>
              <w:rPr>
                <w:color w:val="000000"/>
              </w:rPr>
              <w:t>1.2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spacing w:line="216" w:lineRule="auto"/>
            </w:pPr>
            <w:r>
              <w:t>Мероприятие № 1.2</w:t>
            </w:r>
          </w:p>
          <w:p w:rsidR="000A1BCD" w:rsidRDefault="002D12E0">
            <w:pPr>
              <w:spacing w:line="216" w:lineRule="auto"/>
            </w:pPr>
            <w:r>
              <w:rPr>
                <w:color w:val="000000"/>
              </w:rPr>
              <w:t xml:space="preserve">Владение, пользование и распоряжение имуществом, находящимся в </w:t>
            </w:r>
            <w:r>
              <w:rPr>
                <w:color w:val="000000"/>
              </w:rPr>
              <w:t>муниципальной собственности (оценка имущества, заключение о техническом состоянии муниципального имущества, обследование домов, справки БТИ)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</w:tr>
      <w:tr w:rsidR="000A1BCD" w:rsidTr="002D12E0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pPr>
              <w:keepNext/>
            </w:pPr>
            <w:r>
              <w:t>1.3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spacing w:line="216" w:lineRule="auto"/>
            </w:pPr>
            <w:r>
              <w:t>Мероприятие № 1.3</w:t>
            </w:r>
          </w:p>
          <w:p w:rsidR="000A1BCD" w:rsidRDefault="002D12E0">
            <w:pPr>
              <w:spacing w:line="216" w:lineRule="auto"/>
            </w:pPr>
            <w:r>
              <w:t xml:space="preserve">Выполнение кадастровых работ по межеванию и подготовке межевого плана </w:t>
            </w:r>
            <w:r>
              <w:t>земельного участка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0A1BCD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0A1BCD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0A1BCD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0A1BCD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0A1BCD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0A1BCD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0A1BCD"/>
        </w:tc>
      </w:tr>
      <w:tr w:rsidR="000A1BCD" w:rsidTr="002D12E0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pPr>
              <w:keepNext/>
            </w:pPr>
            <w:r>
              <w:rPr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 200,0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 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 200,0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150,6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75,3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</w:tr>
      <w:tr w:rsidR="000A1BCD" w:rsidTr="002D12E0">
        <w:trPr>
          <w:cantSplit/>
        </w:trPr>
        <w:tc>
          <w:tcPr>
            <w:tcW w:w="14677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BCD" w:rsidRDefault="000A1BCD">
            <w:pPr>
              <w:keepNext/>
              <w:rPr>
                <w:color w:val="000000"/>
              </w:rPr>
            </w:pPr>
          </w:p>
          <w:p w:rsidR="000A1BCD" w:rsidRDefault="002D12E0">
            <w:pPr>
              <w:rPr>
                <w:color w:val="000000"/>
              </w:rPr>
            </w:pPr>
            <w:r>
              <w:br w:type="page"/>
            </w:r>
          </w:p>
          <w:tbl>
            <w:tblPr>
              <w:tblW w:w="15460" w:type="dxa"/>
              <w:tblLayout w:type="fixed"/>
              <w:tblLook w:val="04A0" w:firstRow="1" w:lastRow="0" w:firstColumn="1" w:lastColumn="0" w:noHBand="0" w:noVBand="1"/>
            </w:tblPr>
            <w:tblGrid>
              <w:gridCol w:w="6122"/>
              <w:gridCol w:w="2637"/>
              <w:gridCol w:w="1852"/>
              <w:gridCol w:w="2029"/>
              <w:gridCol w:w="2820"/>
            </w:tblGrid>
            <w:tr w:rsidR="000A1BCD" w:rsidTr="002D12E0">
              <w:trPr>
                <w:trHeight w:val="255"/>
              </w:trPr>
              <w:tc>
                <w:tcPr>
                  <w:tcW w:w="6122" w:type="dxa"/>
                  <w:shd w:val="clear" w:color="auto" w:fill="auto"/>
                  <w:vAlign w:val="bottom"/>
                </w:tcPr>
                <w:p w:rsidR="000A1BCD" w:rsidRDefault="000A1BCD">
                  <w:pPr>
                    <w:pageBreakBefore/>
                    <w:rPr>
                      <w:color w:val="000000"/>
                    </w:rPr>
                  </w:pPr>
                </w:p>
                <w:p w:rsidR="000A1BCD" w:rsidRDefault="002D12E0">
                  <w:r>
                    <w:rPr>
                      <w:color w:val="000000"/>
                    </w:rPr>
                    <w:t xml:space="preserve">Специалист 1 </w:t>
                  </w:r>
                  <w:proofErr w:type="gramStart"/>
                  <w:r>
                    <w:rPr>
                      <w:color w:val="000000"/>
                    </w:rPr>
                    <w:t>категории  администрации</w:t>
                  </w:r>
                  <w:proofErr w:type="gramEnd"/>
                </w:p>
              </w:tc>
              <w:tc>
                <w:tcPr>
                  <w:tcW w:w="2637" w:type="dxa"/>
                  <w:shd w:val="clear" w:color="auto" w:fill="auto"/>
                  <w:vAlign w:val="bottom"/>
                </w:tcPr>
                <w:p w:rsidR="000A1BCD" w:rsidRDefault="000A1BC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  <w:vAlign w:val="bottom"/>
                </w:tcPr>
                <w:p w:rsidR="000A1BCD" w:rsidRDefault="000A1BC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  <w:vAlign w:val="bottom"/>
                </w:tcPr>
                <w:p w:rsidR="000A1BCD" w:rsidRDefault="000A1BC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20" w:type="dxa"/>
                  <w:shd w:val="clear" w:color="auto" w:fill="auto"/>
                  <w:vAlign w:val="bottom"/>
                </w:tcPr>
                <w:p w:rsidR="000A1BCD" w:rsidRDefault="002D12E0">
                  <w:proofErr w:type="spellStart"/>
                  <w:r>
                    <w:rPr>
                      <w:color w:val="000000"/>
                    </w:rPr>
                    <w:t>О.В.Рябинина</w:t>
                  </w:r>
                  <w:proofErr w:type="spellEnd"/>
                </w:p>
              </w:tc>
            </w:tr>
          </w:tbl>
          <w:p w:rsidR="000A1BCD" w:rsidRDefault="000A1BCD"/>
        </w:tc>
      </w:tr>
    </w:tbl>
    <w:p w:rsidR="000A1BCD" w:rsidRDefault="000A1BCD">
      <w:pPr>
        <w:pStyle w:val="a5"/>
        <w:sectPr w:rsidR="000A1BCD">
          <w:pgSz w:w="16838" w:h="11906" w:orient="landscape"/>
          <w:pgMar w:top="1701" w:right="1134" w:bottom="567" w:left="1134" w:header="720" w:footer="720" w:gutter="0"/>
          <w:cols w:space="720"/>
          <w:formProt w:val="0"/>
          <w:docGrid w:linePitch="360"/>
        </w:sectPr>
      </w:pPr>
    </w:p>
    <w:tbl>
      <w:tblPr>
        <w:tblW w:w="14570" w:type="dxa"/>
        <w:tblInd w:w="109" w:type="dxa"/>
        <w:tblLook w:val="04A0" w:firstRow="1" w:lastRow="0" w:firstColumn="1" w:lastColumn="0" w:noHBand="0" w:noVBand="1"/>
      </w:tblPr>
      <w:tblGrid>
        <w:gridCol w:w="1976"/>
        <w:gridCol w:w="1776"/>
        <w:gridCol w:w="1908"/>
        <w:gridCol w:w="1800"/>
        <w:gridCol w:w="1971"/>
        <w:gridCol w:w="1635"/>
        <w:gridCol w:w="915"/>
        <w:gridCol w:w="1350"/>
        <w:gridCol w:w="1346"/>
      </w:tblGrid>
      <w:tr w:rsidR="000A1BCD">
        <w:trPr>
          <w:trHeight w:val="364"/>
        </w:trPr>
        <w:tc>
          <w:tcPr>
            <w:tcW w:w="14568" w:type="dxa"/>
            <w:gridSpan w:val="9"/>
            <w:shd w:val="clear" w:color="auto" w:fill="auto"/>
            <w:vAlign w:val="bottom"/>
          </w:tcPr>
          <w:p w:rsidR="000A1BCD" w:rsidRDefault="002D12E0">
            <w:pPr>
              <w:pageBreakBefore/>
              <w:ind w:left="10113"/>
              <w:jc w:val="center"/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0A1BCD" w:rsidRDefault="000A1BCD">
            <w:pPr>
              <w:ind w:left="10240"/>
              <w:jc w:val="center"/>
              <w:rPr>
                <w:bCs/>
                <w:color w:val="000000"/>
              </w:rPr>
            </w:pPr>
          </w:p>
          <w:p w:rsidR="000A1BCD" w:rsidRDefault="000A1BCD">
            <w:pPr>
              <w:ind w:left="10113"/>
              <w:jc w:val="center"/>
              <w:rPr>
                <w:bCs/>
                <w:color w:val="000000"/>
              </w:rPr>
            </w:pPr>
          </w:p>
          <w:p w:rsidR="000A1BCD" w:rsidRDefault="002D12E0">
            <w:pPr>
              <w:ind w:left="10113"/>
              <w:jc w:val="center"/>
            </w:pPr>
            <w:r>
              <w:rPr>
                <w:color w:val="000000"/>
              </w:rPr>
              <w:t>Ежеквартально, до 20 числа месяца,</w:t>
            </w:r>
          </w:p>
          <w:p w:rsidR="000A1BCD" w:rsidRDefault="002D12E0">
            <w:pPr>
              <w:ind w:left="10113"/>
              <w:jc w:val="center"/>
            </w:pPr>
            <w:r>
              <w:rPr>
                <w:color w:val="000000"/>
              </w:rPr>
              <w:t>следующего за отчетным</w:t>
            </w:r>
          </w:p>
          <w:p w:rsidR="000A1BCD" w:rsidRDefault="002D12E0">
            <w:pPr>
              <w:ind w:left="10113"/>
              <w:jc w:val="center"/>
            </w:pPr>
            <w:r>
              <w:rPr>
                <w:color w:val="000000"/>
              </w:rPr>
              <w:t>Ежегодно до 25</w:t>
            </w:r>
            <w:r>
              <w:rPr>
                <w:color w:val="000000"/>
              </w:rPr>
              <w:t xml:space="preserve"> января года,</w:t>
            </w:r>
          </w:p>
          <w:p w:rsidR="000A1BCD" w:rsidRDefault="002D12E0">
            <w:pPr>
              <w:ind w:left="10113"/>
              <w:jc w:val="center"/>
            </w:pPr>
            <w:r>
              <w:rPr>
                <w:color w:val="000000"/>
              </w:rPr>
              <w:t>следующего за отчетным</w:t>
            </w:r>
          </w:p>
          <w:p w:rsidR="000A1BCD" w:rsidRDefault="000A1BCD">
            <w:pPr>
              <w:rPr>
                <w:bCs/>
                <w:color w:val="000000"/>
              </w:rPr>
            </w:pPr>
          </w:p>
          <w:p w:rsidR="000A1BCD" w:rsidRDefault="002D12E0">
            <w:pPr>
              <w:jc w:val="center"/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0A1BCD">
        <w:trPr>
          <w:trHeight w:val="376"/>
        </w:trPr>
        <w:tc>
          <w:tcPr>
            <w:tcW w:w="14568" w:type="dxa"/>
            <w:gridSpan w:val="9"/>
            <w:shd w:val="clear" w:color="auto" w:fill="auto"/>
            <w:vAlign w:val="bottom"/>
          </w:tcPr>
          <w:p w:rsidR="000A1BCD" w:rsidRDefault="002D12E0">
            <w:pPr>
              <w:jc w:val="center"/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0A1BCD">
        <w:trPr>
          <w:trHeight w:val="279"/>
        </w:trPr>
        <w:tc>
          <w:tcPr>
            <w:tcW w:w="14568" w:type="dxa"/>
            <w:gridSpan w:val="9"/>
            <w:shd w:val="clear" w:color="auto" w:fill="auto"/>
            <w:vAlign w:val="bottom"/>
          </w:tcPr>
          <w:p w:rsidR="000A1BCD" w:rsidRDefault="002D12E0">
            <w:pPr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 w:rsidR="000A1BCD">
        <w:trPr>
          <w:trHeight w:val="316"/>
        </w:trPr>
        <w:tc>
          <w:tcPr>
            <w:tcW w:w="14568" w:type="dxa"/>
            <w:gridSpan w:val="9"/>
            <w:shd w:val="clear" w:color="auto" w:fill="auto"/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0A1BCD">
        <w:trPr>
          <w:trHeight w:val="279"/>
        </w:trPr>
        <w:tc>
          <w:tcPr>
            <w:tcW w:w="14568" w:type="dxa"/>
            <w:gridSpan w:val="9"/>
            <w:shd w:val="clear" w:color="auto" w:fill="auto"/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>За __</w:t>
            </w:r>
            <w:r>
              <w:rPr>
                <w:color w:val="000000"/>
                <w:u w:val="single"/>
              </w:rPr>
              <w:t>_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2018 год</w:t>
            </w:r>
            <w:r>
              <w:rPr>
                <w:color w:val="000000"/>
              </w:rPr>
              <w:t>_________</w:t>
            </w:r>
          </w:p>
        </w:tc>
      </w:tr>
      <w:tr w:rsidR="000A1BCD">
        <w:trPr>
          <w:trHeight w:val="279"/>
        </w:trPr>
        <w:tc>
          <w:tcPr>
            <w:tcW w:w="14568" w:type="dxa"/>
            <w:gridSpan w:val="9"/>
            <w:shd w:val="clear" w:color="auto" w:fill="auto"/>
            <w:vAlign w:val="bottom"/>
          </w:tcPr>
          <w:p w:rsidR="000A1BCD" w:rsidRDefault="000A1B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1BCD">
        <w:trPr>
          <w:trHeight w:val="279"/>
        </w:trPr>
        <w:tc>
          <w:tcPr>
            <w:tcW w:w="14568" w:type="dxa"/>
            <w:gridSpan w:val="9"/>
            <w:shd w:val="clear" w:color="auto" w:fill="auto"/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 xml:space="preserve">(1 квартал, полугодие, 3 </w:t>
            </w:r>
            <w:r>
              <w:rPr>
                <w:color w:val="000000"/>
              </w:rPr>
              <w:t>квартал, год)</w:t>
            </w:r>
          </w:p>
        </w:tc>
      </w:tr>
      <w:tr w:rsidR="000A1BCD">
        <w:trPr>
          <w:trHeight w:hRule="exact" w:val="23"/>
        </w:trPr>
        <w:tc>
          <w:tcPr>
            <w:tcW w:w="1961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763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</w:tr>
      <w:tr w:rsidR="000A1BCD">
        <w:trPr>
          <w:trHeight w:val="1325"/>
        </w:trPr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pPr>
              <w:jc w:val="center"/>
            </w:pPr>
            <w:proofErr w:type="gramStart"/>
            <w:r>
              <w:rPr>
                <w:color w:val="000000"/>
              </w:rPr>
              <w:t>Наименование  основного</w:t>
            </w:r>
            <w:proofErr w:type="gram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основного мероприятия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proofErr w:type="spellStart"/>
            <w:r>
              <w:rPr>
                <w:color w:val="000000"/>
              </w:rPr>
              <w:t>Един.измерения</w:t>
            </w:r>
            <w:proofErr w:type="spellEnd"/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 xml:space="preserve">Предусмотренное </w:t>
            </w:r>
            <w:proofErr w:type="gramStart"/>
            <w:r>
              <w:rPr>
                <w:color w:val="000000"/>
              </w:rPr>
              <w:t>программой  значение</w:t>
            </w:r>
            <w:proofErr w:type="gramEnd"/>
            <w:r>
              <w:rPr>
                <w:color w:val="000000"/>
              </w:rPr>
              <w:t xml:space="preserve">   показателя на  текущий год  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 xml:space="preserve">Фактическое значение   показателя на отчетную </w:t>
            </w:r>
            <w:r>
              <w:rPr>
                <w:color w:val="000000"/>
              </w:rPr>
              <w:t>дату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0A1BCD" w:rsidRDefault="002D12E0">
            <w:pPr>
              <w:jc w:val="center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jc w:val="center"/>
            </w:pPr>
            <w:r>
              <w:rPr>
                <w:color w:val="000000"/>
              </w:rPr>
              <w:t>Причина отклонений</w:t>
            </w:r>
          </w:p>
        </w:tc>
      </w:tr>
      <w:tr w:rsidR="000A1BCD">
        <w:trPr>
          <w:trHeight w:val="303"/>
        </w:trPr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48" w:type="dxa"/>
            </w:tcMar>
            <w:vAlign w:val="bottom"/>
          </w:tcPr>
          <w:p w:rsidR="000A1BCD" w:rsidRDefault="002D12E0">
            <w:r>
              <w:rPr>
                <w:b/>
                <w:bCs/>
                <w:color w:val="000000"/>
              </w:rPr>
              <w:t> Управление муниципальным имуществом Кавказского сельского поселения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Администрация Кавказского сельского поселения  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53" w:type="dxa"/>
            </w:tcMar>
            <w:vAlign w:val="bottom"/>
          </w:tcPr>
          <w:p w:rsidR="000A1BCD" w:rsidRDefault="002D12E0">
            <w:pPr>
              <w:spacing w:line="100" w:lineRule="atLeast"/>
            </w:pPr>
            <w:r>
              <w:rPr>
                <w:rStyle w:val="10"/>
                <w:color w:val="000000"/>
              </w:rPr>
              <w:t xml:space="preserve">количество объектов недвижимости, находящихся в муниципальной собственности, </w:t>
            </w:r>
            <w:r>
              <w:rPr>
                <w:rStyle w:val="10"/>
                <w:color w:val="000000"/>
              </w:rPr>
              <w:t xml:space="preserve">подлежащих межеванию и проведению технической инвентаризации (изготовление технических </w:t>
            </w:r>
            <w:r>
              <w:rPr>
                <w:rStyle w:val="10"/>
                <w:color w:val="000000"/>
              </w:rPr>
              <w:lastRenderedPageBreak/>
              <w:t>паспортов и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</w:t>
            </w:r>
            <w:r>
              <w:rPr>
                <w:rStyle w:val="10"/>
                <w:color w:val="000000"/>
              </w:rPr>
              <w:t xml:space="preserve">дарственный реестр недвижимости </w:t>
            </w:r>
            <w:proofErr w:type="gramStart"/>
            <w:r>
              <w:rPr>
                <w:rStyle w:val="10"/>
                <w:color w:val="000000"/>
              </w:rPr>
              <w:t>на объекты</w:t>
            </w:r>
            <w:proofErr w:type="gramEnd"/>
            <w:r>
              <w:rPr>
                <w:rStyle w:val="10"/>
                <w:color w:val="000000"/>
              </w:rPr>
              <w:t xml:space="preserve"> входящие в состав муниципальной казны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lastRenderedPageBreak/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15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26,6%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До конца 2018 года</w:t>
            </w:r>
          </w:p>
        </w:tc>
      </w:tr>
      <w:tr w:rsidR="000A1BCD">
        <w:trPr>
          <w:trHeight w:val="303"/>
        </w:trPr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spacing w:line="100" w:lineRule="atLeast"/>
            </w:pPr>
            <w:r>
              <w:rPr>
                <w:rStyle w:val="10"/>
                <w:color w:val="000000"/>
              </w:rPr>
              <w:t xml:space="preserve">владение, пользование и распоряжение имуществом, находящимся в муниципальной собственности (оценка имущества, заключение о </w:t>
            </w:r>
            <w:r>
              <w:rPr>
                <w:rStyle w:val="10"/>
                <w:color w:val="000000"/>
              </w:rPr>
              <w:t xml:space="preserve">техническом </w:t>
            </w:r>
            <w:r>
              <w:rPr>
                <w:rStyle w:val="10"/>
                <w:color w:val="000000"/>
              </w:rPr>
              <w:lastRenderedPageBreak/>
              <w:t>состоянии муниципального имущества, обследование домов, справки БТИ)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lastRenderedPageBreak/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3 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100%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  До конца 2018 года</w:t>
            </w:r>
          </w:p>
        </w:tc>
      </w:tr>
      <w:tr w:rsidR="000A1BCD">
        <w:trPr>
          <w:trHeight w:val="303"/>
        </w:trPr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:rsidR="000A1BCD" w:rsidRDefault="000A1BCD"/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0A1BCD"/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Pr>
              <w:spacing w:line="100" w:lineRule="atLeast"/>
            </w:pPr>
            <w:r>
              <w:t>выполнение плана по поступлению дохода от сдачи в аренду муниципального имущества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t>65,3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t>69,4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0A1BCD"/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t>100%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:rsidR="000A1BCD" w:rsidRDefault="002D12E0">
            <w:r>
              <w:rPr>
                <w:color w:val="000000"/>
              </w:rPr>
              <w:t>До конца 2018 года</w:t>
            </w:r>
          </w:p>
        </w:tc>
      </w:tr>
      <w:tr w:rsidR="000A1BCD">
        <w:trPr>
          <w:trHeight w:hRule="exact" w:val="23"/>
        </w:trPr>
        <w:tc>
          <w:tcPr>
            <w:tcW w:w="1961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763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  <w:p w:rsidR="000A1BCD" w:rsidRDefault="000A1BCD">
            <w:pPr>
              <w:rPr>
                <w:color w:val="000000"/>
              </w:rPr>
            </w:pPr>
          </w:p>
        </w:tc>
      </w:tr>
      <w:tr w:rsidR="000A1BCD">
        <w:trPr>
          <w:trHeight w:val="255"/>
        </w:trPr>
        <w:tc>
          <w:tcPr>
            <w:tcW w:w="3724" w:type="dxa"/>
            <w:gridSpan w:val="2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  <w:p w:rsidR="000A1BCD" w:rsidRDefault="000A1BCD">
            <w:pPr>
              <w:rPr>
                <w:color w:val="000000"/>
              </w:rPr>
            </w:pPr>
          </w:p>
          <w:p w:rsidR="000A1BCD" w:rsidRDefault="002D12E0">
            <w:r>
              <w:rPr>
                <w:color w:val="000000"/>
              </w:rPr>
              <w:t xml:space="preserve">Специалист 1 </w:t>
            </w:r>
            <w:proofErr w:type="gramStart"/>
            <w:r>
              <w:rPr>
                <w:color w:val="000000"/>
              </w:rPr>
              <w:t>категории  администрации</w:t>
            </w:r>
            <w:proofErr w:type="gramEnd"/>
          </w:p>
        </w:tc>
        <w:tc>
          <w:tcPr>
            <w:tcW w:w="1894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0A1BCD" w:rsidRDefault="002D12E0">
            <w:r>
              <w:rPr>
                <w:color w:val="000000"/>
              </w:rPr>
              <w:t xml:space="preserve">                                                       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0A1BCD" w:rsidRDefault="002D12E0">
            <w:r>
              <w:rPr>
                <w:color w:val="000000"/>
              </w:rPr>
              <w:t xml:space="preserve">         </w:t>
            </w:r>
            <w:proofErr w:type="spellStart"/>
            <w:r>
              <w:rPr>
                <w:color w:val="000000"/>
              </w:rPr>
              <w:t>О.В.Рябинина</w:t>
            </w:r>
            <w:proofErr w:type="spellEnd"/>
          </w:p>
        </w:tc>
        <w:tc>
          <w:tcPr>
            <w:tcW w:w="911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A1BCD" w:rsidRDefault="000A1BCD">
            <w:pPr>
              <w:rPr>
                <w:color w:val="000000"/>
              </w:rPr>
            </w:pPr>
          </w:p>
        </w:tc>
      </w:tr>
    </w:tbl>
    <w:p w:rsidR="000A1BCD" w:rsidRDefault="000A1BCD"/>
    <w:sectPr w:rsidR="000A1BCD">
      <w:pgSz w:w="16838" w:h="11906" w:orient="landscape"/>
      <w:pgMar w:top="1701" w:right="1134" w:bottom="567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BCD"/>
    <w:rsid w:val="000A1BCD"/>
    <w:rsid w:val="002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6B948-ABCD-49F7-B2EB-5572B941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шрифт абзаца1"/>
    <w:qFormat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Title"/>
    <w:basedOn w:val="a0"/>
    <w:qFormat/>
  </w:style>
  <w:style w:type="paragraph" w:styleId="ac">
    <w:name w:val="Subtitle"/>
    <w:basedOn w:val="a0"/>
    <w:qFormat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0A8A-2BFB-4E77-B056-B8567D75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583</Words>
  <Characters>3327</Characters>
  <Application>Microsoft Office Word</Application>
  <DocSecurity>0</DocSecurity>
  <Lines>27</Lines>
  <Paragraphs>7</Paragraphs>
  <ScaleCrop>false</ScaleCrop>
  <Company>DELOPR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valvas</dc:creator>
  <dc:description/>
  <cp:lastModifiedBy>Генькель</cp:lastModifiedBy>
  <cp:revision>28</cp:revision>
  <cp:lastPrinted>2019-02-12T12:16:00Z</cp:lastPrinted>
  <dcterms:created xsi:type="dcterms:W3CDTF">2016-03-30T06:50:00Z</dcterms:created>
  <dcterms:modified xsi:type="dcterms:W3CDTF">2019-02-12T12:16:00Z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