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center"/>
        <w:rPr/>
      </w:pPr>
      <w:r>
        <w:rPr/>
      </w:r>
    </w:p>
    <w:p>
      <w:pPr>
        <w:pStyle w:val="Normal"/>
        <w:widowControl w:val="false"/>
        <w:spacing w:lineRule="auto" w:line="240" w:before="0" w:after="0"/>
        <w:ind w:left="0" w:right="0" w:firstLine="540"/>
        <w:jc w:val="center"/>
        <w:rPr/>
      </w:pPr>
      <w:r>
        <w:rPr>
          <w:b/>
          <w:bCs/>
        </w:rPr>
        <w:t>АДМИНИСТРАЦИЯ КАВКАЗСКОГО СЕЛЬСКОГО ПОСЕЛЕНИЯ</w:t>
      </w:r>
    </w:p>
    <w:p>
      <w:pPr>
        <w:pStyle w:val="Normal"/>
        <w:widowControl w:val="false"/>
        <w:spacing w:lineRule="auto" w:line="240" w:before="0" w:after="0"/>
        <w:ind w:left="0" w:right="0" w:firstLine="540"/>
        <w:jc w:val="center"/>
        <w:rPr/>
      </w:pPr>
      <w:r>
        <w:rPr>
          <w:b/>
          <w:bCs/>
        </w:rPr>
        <w:t>КАВКАЗСКОГО РАЙОНА</w:t>
      </w:r>
    </w:p>
    <w:p>
      <w:pPr>
        <w:pStyle w:val="Normal"/>
        <w:widowControl w:val="false"/>
        <w:spacing w:lineRule="auto" w:line="240" w:before="0" w:after="0"/>
        <w:ind w:left="0" w:right="0" w:firstLine="540"/>
        <w:jc w:val="center"/>
        <w:rPr>
          <w:b/>
          <w:bCs/>
        </w:rPr>
      </w:pPr>
      <w:r>
        <w:rPr>
          <w:b/>
          <w:bCs/>
        </w:rPr>
      </w:r>
    </w:p>
    <w:p>
      <w:pPr>
        <w:pStyle w:val="Normal"/>
        <w:widowControl w:val="false"/>
        <w:spacing w:lineRule="auto" w:line="240" w:before="0" w:after="0"/>
        <w:ind w:left="0" w:right="0" w:firstLine="540"/>
        <w:jc w:val="center"/>
        <w:rPr/>
      </w:pPr>
      <w:r>
        <w:rPr>
          <w:b/>
          <w:bCs/>
        </w:rPr>
        <w:t>ПОСТАНОВЛЕНИЕ</w:t>
      </w:r>
    </w:p>
    <w:p>
      <w:pPr>
        <w:pStyle w:val="Normal"/>
        <w:widowControl w:val="false"/>
        <w:spacing w:lineRule="auto" w:line="240" w:before="0" w:after="0"/>
        <w:ind w:left="0" w:right="0" w:firstLine="540"/>
        <w:jc w:val="both"/>
        <w:rPr/>
      </w:pPr>
      <w:r>
        <w:rPr>
          <w:b/>
          <w:bCs/>
        </w:rPr>
        <w:t>от 09.12.2024                                                                                    № 33</w:t>
      </w:r>
      <w:r>
        <w:rPr>
          <w:b/>
          <w:bCs/>
        </w:rPr>
        <w:t>8</w:t>
      </w:r>
    </w:p>
    <w:p>
      <w:pPr>
        <w:pStyle w:val="Normal"/>
        <w:widowControl w:val="false"/>
        <w:spacing w:lineRule="auto" w:line="240" w:before="0" w:after="0"/>
        <w:ind w:firstLine="540"/>
        <w:jc w:val="center"/>
        <w:rPr>
          <w:sz w:val="24"/>
          <w:szCs w:val="24"/>
        </w:rPr>
      </w:pPr>
      <w:r>
        <w:rPr>
          <w:b/>
          <w:bCs/>
          <w:sz w:val="24"/>
          <w:szCs w:val="24"/>
        </w:rPr>
        <w:t>станица Кавказская</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pPr>
      <w:r>
        <w:rPr>
          <w:b/>
        </w:rPr>
        <w:t xml:space="preserve">О внесении  изменений в постановление администрации Кавказского сельского поселения Кавказского района от 27 октября 2023 года №261/1           «Об утверждении нормативных затрат на оказание муниципальных услуг </w:t>
      </w:r>
      <w:r>
        <w:rPr>
          <w:b/>
          <w:bCs/>
        </w:rPr>
        <w:t xml:space="preserve"> муниципальным бюджетным учреждением культуры </w:t>
      </w:r>
      <w:r>
        <w:rPr>
          <w:rFonts w:eastAsia="Calibri"/>
          <w:b/>
          <w:bCs/>
        </w:rPr>
        <w:t>«Центр кино и досуга «Космос»»  Кавказского сельского поселения Кавказского района»</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850"/>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1. Внести в постановление администрации Кавказского сельского поселения Кавказского района от 27 октября  202</w:t>
      </w:r>
      <w:bookmarkStart w:id="0" w:name="_GoBack"/>
      <w:bookmarkEnd w:id="0"/>
      <w:r>
        <w:rPr/>
        <w:t xml:space="preserve">3 года №261/1 «Об утверждении нормативных затрат на оказание муниципальных услуг </w:t>
      </w:r>
      <w:r>
        <w:rPr>
          <w:bCs/>
        </w:rPr>
        <w:t xml:space="preserve"> муниципальным бюджетным учреждением культуры </w:t>
      </w:r>
      <w:r>
        <w:rPr>
          <w:rFonts w:eastAsia="Calibri"/>
          <w:bCs/>
        </w:rPr>
        <w:t>«Центр кино и досуга «Космос»»  Кавказского сельского поселения Кавказского района</w:t>
      </w:r>
      <w:r>
        <w:rPr>
          <w:rFonts w:eastAsia="Calibri"/>
        </w:rPr>
        <w:t>» 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spacing w:before="0" w:after="0"/>
        <w:jc w:val="center"/>
        <w:rPr>
          <w:rFonts w:eastAsia="Calibri"/>
        </w:rPr>
      </w:pPr>
      <w:r>
        <w:rPr>
          <w:rFonts w:eastAsia="Calibri"/>
        </w:rPr>
        <w:t>2</w:t>
      </w:r>
    </w:p>
    <w:p>
      <w:pPr>
        <w:pStyle w:val="Normal"/>
        <w:spacing w:before="0" w:after="0"/>
        <w:jc w:val="center"/>
        <w:rPr>
          <w:rFonts w:eastAsia="Calibri"/>
        </w:rPr>
      </w:pPr>
      <w:r>
        <w:rPr>
          <w:rFonts w:eastAsia="Calibri"/>
        </w:rPr>
      </w:r>
    </w:p>
    <w:p>
      <w:pPr>
        <w:pStyle w:val="Normal"/>
        <w:spacing w:before="0" w:after="0"/>
        <w:ind w:firstLine="851"/>
        <w:jc w:val="both"/>
        <w:rPr/>
      </w:pPr>
      <w:r>
        <w:rPr/>
        <w:t>2. Постановление администрации Кавказского сельского поселения Кавказского района от 16 октября 2024 года № 284 «</w:t>
      </w:r>
      <w:r>
        <w:rPr>
          <w:b w:val="false"/>
          <w:bCs w:val="false"/>
        </w:rPr>
        <w:t xml:space="preserve">О внесении  изменений в постановление администрации Кавказского сельского поселения Кавказского района от 27 октября 2023 года №261/1   «Об утверждении нормативных затрат на оказание муниципальных услуг  муниципальным бюджетным учреждением культуры </w:t>
      </w:r>
      <w:r>
        <w:rPr>
          <w:rFonts w:eastAsia="Calibri"/>
          <w:b w:val="false"/>
          <w:bCs w:val="false"/>
        </w:rPr>
        <w:t>«Центр кино и досуга «Космос»»  Кавказского сельского поселения Кавказского района» считать утратившим силу.</w:t>
      </w:r>
    </w:p>
    <w:p>
      <w:pPr>
        <w:pStyle w:val="Normal"/>
        <w:spacing w:before="0" w:after="0"/>
        <w:ind w:firstLine="851"/>
        <w:jc w:val="both"/>
        <w:rPr/>
      </w:pPr>
      <w:r>
        <w:rPr/>
        <w:t>3. Контроль за выполнением настоящего постановления оставляю за собой.</w:t>
      </w:r>
    </w:p>
    <w:p>
      <w:pPr>
        <w:pStyle w:val="Normal"/>
        <w:spacing w:before="0" w:after="0"/>
        <w:ind w:firstLine="850"/>
        <w:jc w:val="both"/>
        <w:rPr/>
      </w:pPr>
      <w:r>
        <w:rPr/>
        <w:t>4. Постановление вступает в силу со дня его подписания.</w:t>
      </w:r>
    </w:p>
    <w:p>
      <w:pPr>
        <w:pStyle w:val="Normal"/>
        <w:spacing w:before="0" w:after="0"/>
        <w:ind w:firstLine="850"/>
        <w:jc w:val="both"/>
        <w:rPr/>
      </w:pPr>
      <w:r>
        <w:rPr/>
      </w:r>
    </w:p>
    <w:p>
      <w:pPr>
        <w:pStyle w:val="Normal"/>
        <w:spacing w:before="0" w:after="0"/>
        <w:ind w:firstLine="850"/>
        <w:jc w:val="both"/>
        <w:rPr/>
      </w:pPr>
      <w:r>
        <w:rPr/>
      </w:r>
    </w:p>
    <w:p>
      <w:pPr>
        <w:pStyle w:val="Normal"/>
        <w:spacing w:before="0" w:after="0"/>
        <w:ind w:firstLine="850"/>
        <w:jc w:val="both"/>
        <w:rPr/>
      </w:pPr>
      <w:r>
        <w:rPr/>
      </w:r>
    </w:p>
    <w:tbl>
      <w:tblPr>
        <w:tblW w:w="9584" w:type="dxa"/>
        <w:jc w:val="right"/>
        <w:tblInd w:w="0" w:type="dxa"/>
        <w:tblLayout w:type="fixed"/>
        <w:tblCellMar>
          <w:top w:w="55" w:type="dxa"/>
          <w:left w:w="55" w:type="dxa"/>
          <w:bottom w:w="55" w:type="dxa"/>
          <w:right w:w="55" w:type="dxa"/>
        </w:tblCellMar>
        <w:tblLook w:val="04a0"/>
      </w:tblPr>
      <w:tblGrid>
        <w:gridCol w:w="5610"/>
        <w:gridCol w:w="3973"/>
      </w:tblGrid>
      <w:tr>
        <w:trPr/>
        <w:tc>
          <w:tcPr>
            <w:tcW w:w="5610" w:type="dxa"/>
            <w:tcBorders/>
            <w:shd w:color="auto" w:fill="auto" w:val="clear"/>
          </w:tcPr>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t>Глава Кавказского сельского</w:t>
            </w:r>
          </w:p>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t>поселения Кавказского района</w:t>
            </w:r>
          </w:p>
        </w:tc>
        <w:tc>
          <w:tcPr>
            <w:tcW w:w="3973" w:type="dxa"/>
            <w:tcBorders/>
            <w:shd w:color="auto" w:fill="auto" w:val="clear"/>
          </w:tcPr>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 xml:space="preserve">                        </w:t>
            </w:r>
            <w:r>
              <w:rPr>
                <w:rFonts w:eastAsia="" w:eastAsiaTheme="minorEastAsia"/>
                <w:szCs w:val="24"/>
                <w:lang w:eastAsia="ru-RU"/>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5"/>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4868" w:type="dxa"/>
            <w:tcBorders>
              <w:top w:val="nil"/>
              <w:left w:val="nil"/>
              <w:bottom w:val="nil"/>
              <w:right w:val="nil"/>
            </w:tcBorders>
          </w:tcPr>
          <w:p>
            <w:pPr>
              <w:pStyle w:val="Normal"/>
              <w:widowControl w:val="false"/>
              <w:suppressAutoHyphens w:val="true"/>
              <w:spacing w:before="0" w:after="200"/>
              <w:jc w:val="center"/>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10491" w:type="dxa"/>
            <w:tcBorders>
              <w:top w:val="nil"/>
              <w:left w:val="nil"/>
              <w:bottom w:val="nil"/>
              <w:right w:val="nil"/>
            </w:tcBorders>
          </w:tcPr>
          <w:p>
            <w:pPr>
              <w:pStyle w:val="Normal"/>
              <w:widowControl w:val="false"/>
              <w:suppressAutoHyphens w:val="true"/>
              <w:spacing w:before="0" w:after="0"/>
              <w:jc w:val="center"/>
              <w:rPr/>
            </w:pPr>
            <w:r>
              <w:rPr>
                <w:rFonts w:eastAsia="" w:cs="Times New Roman"/>
                <w:kern w:val="0"/>
                <w:sz w:val="28"/>
                <w:szCs w:val="28"/>
                <w:lang w:val="ru-RU" w:eastAsia="ru-RU" w:bidi="ar-SA"/>
              </w:rPr>
              <w:t>УТВЕРЖДАЮ:</w:t>
            </w:r>
          </w:p>
          <w:p>
            <w:pPr>
              <w:pStyle w:val="Normal"/>
              <w:widowControl w:val="false"/>
              <w:suppressAutoHyphens w:val="true"/>
              <w:spacing w:before="0" w:after="0"/>
              <w:jc w:val="center"/>
              <w:rPr>
                <w:sz w:val="28"/>
                <w:szCs w:val="28"/>
              </w:rPr>
            </w:pPr>
            <w:r>
              <w:rPr>
                <w:sz w:val="28"/>
                <w:szCs w:val="28"/>
              </w:rPr>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ПРИЛОЖЕНИЕ № 1</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Times New Roman"/>
                <w:kern w:val="0"/>
                <w:sz w:val="28"/>
                <w:szCs w:val="28"/>
                <w:lang w:val="ru-RU" w:eastAsia="ru-RU" w:bidi="ar-SA"/>
              </w:rPr>
              <w:t xml:space="preserve">от </w:t>
            </w:r>
            <w:r>
              <w:rPr>
                <w:rFonts w:eastAsia="" w:cs="Times New Roman"/>
                <w:kern w:val="0"/>
                <w:sz w:val="28"/>
                <w:szCs w:val="28"/>
                <w:lang w:val="ru-RU" w:eastAsia="ru-RU" w:bidi="ar-SA"/>
              </w:rPr>
              <w:t xml:space="preserve">09.12.2024 </w:t>
            </w:r>
            <w:r>
              <w:rPr>
                <w:rFonts w:eastAsia="" w:cs="Times New Roman"/>
                <w:kern w:val="0"/>
                <w:sz w:val="28"/>
                <w:szCs w:val="28"/>
                <w:lang w:val="ru-RU" w:eastAsia="ru-RU" w:bidi="ar-SA"/>
              </w:rPr>
              <w:t xml:space="preserve">№ </w:t>
            </w:r>
            <w:r>
              <w:rPr>
                <w:rFonts w:eastAsia="" w:cs="Times New Roman"/>
                <w:kern w:val="0"/>
                <w:sz w:val="28"/>
                <w:szCs w:val="28"/>
                <w:lang w:val="ru-RU" w:eastAsia="ru-RU" w:bidi="ar-SA"/>
              </w:rPr>
              <w:t>338</w:t>
            </w:r>
          </w:p>
          <w:p>
            <w:pPr>
              <w:pStyle w:val="Normal"/>
              <w:widowControl w:val="false"/>
              <w:suppressAutoHyphens w:val="true"/>
              <w:spacing w:before="0" w:after="0"/>
              <w:jc w:val="center"/>
              <w:rPr>
                <w:sz w:val="28"/>
                <w:szCs w:val="28"/>
              </w:rPr>
            </w:pPr>
            <w:r>
              <w:rPr>
                <w:sz w:val="28"/>
                <w:szCs w:val="28"/>
              </w:rPr>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«УТВЕРЖДАЮ:</w:t>
            </w:r>
          </w:p>
          <w:p>
            <w:pPr>
              <w:pStyle w:val="Normal"/>
              <w:widowControl w:val="false"/>
              <w:suppressAutoHyphens w:val="true"/>
              <w:spacing w:before="0" w:after="0"/>
              <w:jc w:val="center"/>
              <w:rPr>
                <w:sz w:val="28"/>
                <w:szCs w:val="28"/>
              </w:rPr>
            </w:pPr>
            <w:r>
              <w:rPr>
                <w:sz w:val="28"/>
                <w:szCs w:val="28"/>
              </w:rPr>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ПРИЛОЖЕНИЕ № 1</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Times New Roman"/>
                <w:kern w:val="0"/>
                <w:sz w:val="28"/>
                <w:szCs w:val="28"/>
                <w:lang w:val="ru-RU" w:eastAsia="ru-RU" w:bidi="ar-SA"/>
              </w:rPr>
              <w:t>от   27.10.2023  № 261/1</w:t>
            </w:r>
          </w:p>
        </w:tc>
      </w:tr>
    </w:tbl>
    <w:p>
      <w:pPr>
        <w:pStyle w:val="Normal"/>
        <w:tabs>
          <w:tab w:val="clear" w:pos="708"/>
          <w:tab w:val="left" w:pos="5205" w:leader="none"/>
        </w:tabs>
        <w:spacing w:before="0" w:after="0"/>
        <w:jc w:val="center"/>
        <w:rPr>
          <w:b/>
          <w:bCs/>
          <w:sz w:val="28"/>
          <w:szCs w:val="28"/>
        </w:rPr>
      </w:pPr>
      <w:r>
        <w:rPr>
          <w:b/>
          <w:bCs/>
          <w:sz w:val="28"/>
          <w:szCs w:val="28"/>
        </w:rPr>
        <w:t>Значения базовых нормативов затрат и корректирующих коэффициентов к базовым нормативам затрат на оказание муниципальных услуг   муниципальными бюджетными учреждениями культуры «Центр кино и досуга «Космос»» Кавказского  сельского поселения Кавказского района на 2024 год</w:t>
      </w:r>
    </w:p>
    <w:p>
      <w:pPr>
        <w:pStyle w:val="Normal"/>
        <w:tabs>
          <w:tab w:val="clear" w:pos="708"/>
          <w:tab w:val="left" w:pos="5205" w:leader="none"/>
        </w:tabs>
        <w:spacing w:before="0" w:after="0"/>
        <w:jc w:val="center"/>
        <w:rPr>
          <w:sz w:val="24"/>
          <w:szCs w:val="24"/>
        </w:rPr>
      </w:pPr>
      <w:r>
        <w:rPr>
          <w:sz w:val="24"/>
          <w:szCs w:val="24"/>
        </w:rPr>
      </w:r>
    </w:p>
    <w:tbl>
      <w:tblPr>
        <w:tblStyle w:val="af5"/>
        <w:tblW w:w="15450" w:type="dxa"/>
        <w:jc w:val="left"/>
        <w:tblInd w:w="221" w:type="dxa"/>
        <w:tblLayout w:type="fixed"/>
        <w:tblCellMar>
          <w:top w:w="0" w:type="dxa"/>
          <w:left w:w="108" w:type="dxa"/>
          <w:bottom w:w="0" w:type="dxa"/>
          <w:right w:w="108" w:type="dxa"/>
        </w:tblCellMar>
        <w:tblLook w:val="04a0"/>
      </w:tblPr>
      <w:tblGrid>
        <w:gridCol w:w="2266"/>
        <w:gridCol w:w="1701"/>
        <w:gridCol w:w="1843"/>
        <w:gridCol w:w="1701"/>
        <w:gridCol w:w="1562"/>
        <w:gridCol w:w="1701"/>
        <w:gridCol w:w="1419"/>
        <w:gridCol w:w="1559"/>
        <w:gridCol w:w="1696"/>
      </w:tblGrid>
      <w:tr>
        <w:trPr>
          <w:trHeight w:val="495" w:hRule="atLeast"/>
        </w:trPr>
        <w:tc>
          <w:tcPr>
            <w:tcW w:w="2266"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Наименование муниципальной услуги</w:t>
            </w:r>
          </w:p>
        </w:tc>
        <w:tc>
          <w:tcPr>
            <w:tcW w:w="1701"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Базовый норматив затрат на оказание i-ой муниципальной услуги</w:t>
            </w:r>
          </w:p>
          <w:p>
            <w:pPr>
              <w:pStyle w:val="Normal"/>
              <w:widowControl w:val="false"/>
              <w:suppressAutoHyphens w:val="true"/>
              <w:spacing w:before="0" w:after="200"/>
              <w:jc w:val="left"/>
              <w:rPr>
                <w:rFonts w:ascii="Times New Roman" w:hAnsi="Times New Roman" w:eastAsia="" w:cs="Times New Roman"/>
                <w:b w:val="false"/>
                <w:bCs w:val="false"/>
                <w:kern w:val="0"/>
                <w:sz w:val="22"/>
                <w:szCs w:val="22"/>
                <w:lang w:val="ru-RU" w:eastAsia="ru-RU" w:bidi="ar-SA"/>
              </w:rPr>
            </w:pPr>
            <w:r>
              <w:rPr>
                <w:rFonts w:eastAsia="" w:cs="Times New Roman"/>
                <w:b w:val="false"/>
                <w:bCs w:val="false"/>
                <w:kern w:val="0"/>
                <w:sz w:val="22"/>
                <w:szCs w:val="22"/>
                <w:lang w:val="ru-RU" w:eastAsia="ru-RU" w:bidi="ar-SA"/>
              </w:rPr>
            </w:r>
          </w:p>
          <w:p>
            <w:pPr>
              <w:pStyle w:val="Normal"/>
              <w:widowControl w:val="false"/>
              <w:suppressAutoHyphens w:val="true"/>
              <w:spacing w:before="0" w:after="200"/>
              <w:jc w:val="center"/>
              <w:rPr>
                <w:rFonts w:ascii="Times New Roman" w:hAnsi="Times New Roman" w:eastAsia="" w:cs="Times New Roman"/>
                <w:b w:val="false"/>
                <w:bCs w:val="false"/>
                <w:kern w:val="0"/>
                <w:sz w:val="22"/>
                <w:szCs w:val="22"/>
                <w:lang w:val="ru-RU" w:eastAsia="ru-RU" w:bidi="ar-SA"/>
              </w:rPr>
            </w:pPr>
            <w:r>
              <w:rPr>
                <w:rFonts w:eastAsia="" w:cs="Times New Roman"/>
                <w:b w:val="false"/>
                <w:bCs w:val="false"/>
                <w:kern w:val="0"/>
                <w:sz w:val="22"/>
                <w:szCs w:val="22"/>
                <w:lang w:val="ru-RU" w:eastAsia="ru-RU" w:bidi="ar-SA"/>
              </w:rPr>
            </w:r>
          </w:p>
        </w:tc>
        <w:tc>
          <w:tcPr>
            <w:tcW w:w="5106"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 w:ascii="Calibri" w:hAnsi="Calibri"/>
                <w:b w:val="false"/>
                <w:bCs w:val="false"/>
                <w:kern w:val="0"/>
                <w:sz w:val="22"/>
                <w:szCs w:val="22"/>
                <w:lang w:val="ru-RU" w:eastAsia="ru-RU" w:bidi="ar-SA"/>
              </w:rPr>
              <w:t>В том числе</w:t>
            </w:r>
          </w:p>
        </w:tc>
        <w:tc>
          <w:tcPr>
            <w:tcW w:w="1701"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eastAsia="" w:cs="Times New Roman"/>
                <w:b w:val="false"/>
                <w:bCs w:val="false"/>
                <w:kern w:val="0"/>
                <w:sz w:val="22"/>
                <w:szCs w:val="22"/>
                <w:lang w:val="ru-RU" w:eastAsia="ru-RU" w:bidi="ar-SA"/>
              </w:rPr>
            </w:pPr>
            <w:r>
              <w:rPr>
                <w:rFonts w:eastAsia="" w:cs="Times New Roman"/>
                <w:b w:val="false"/>
                <w:bCs w:val="false"/>
                <w:kern w:val="0"/>
                <w:sz w:val="22"/>
                <w:szCs w:val="22"/>
                <w:lang w:val="ru-RU" w:eastAsia="ru-RU" w:bidi="ar-SA"/>
              </w:rPr>
            </w:r>
          </w:p>
        </w:tc>
        <w:tc>
          <w:tcPr>
            <w:tcW w:w="1419"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Нормативные затраты на содержание имущества</w:t>
            </w:r>
          </w:p>
        </w:tc>
        <w:tc>
          <w:tcPr>
            <w:tcW w:w="1559"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щий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коэффициент</w:t>
            </w:r>
          </w:p>
        </w:tc>
        <w:tc>
          <w:tcPr>
            <w:tcW w:w="1696"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корректирующий коэффициент</w:t>
            </w:r>
          </w:p>
        </w:tc>
      </w:tr>
      <w:tr>
        <w:trPr>
          <w:trHeight w:val="920" w:hRule="atLeast"/>
        </w:trPr>
        <w:tc>
          <w:tcPr>
            <w:tcW w:w="226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c>
          <w:tcPr>
            <w:tcW w:w="1701"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c>
          <w:tcPr>
            <w:tcW w:w="5106"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 xml:space="preserve">Базовый норматив затрат,  непосредственно связанный с оказанием </w:t>
            </w:r>
            <w:r>
              <w:rPr>
                <w:rFonts w:eastAsia="" w:cs="Times New Roman"/>
                <w:b w:val="false"/>
                <w:bCs w:val="false"/>
                <w:kern w:val="0"/>
                <w:sz w:val="22"/>
                <w:szCs w:val="22"/>
                <w:lang w:val="en-US" w:eastAsia="ru-RU" w:bidi="ar-SA"/>
              </w:rPr>
              <w:t>i</w:t>
            </w:r>
            <w:r>
              <w:rPr>
                <w:rFonts w:eastAsia="" w:cs="Times New Roman"/>
                <w:b w:val="false"/>
                <w:bCs w:val="false"/>
                <w:kern w:val="0"/>
                <w:sz w:val="22"/>
                <w:szCs w:val="22"/>
                <w:lang w:val="ru-RU" w:eastAsia="ru-RU" w:bidi="ar-SA"/>
              </w:rPr>
              <w:t>-ой муниципальной услуги</w:t>
            </w:r>
          </w:p>
        </w:tc>
        <w:tc>
          <w:tcPr>
            <w:tcW w:w="1701"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 xml:space="preserve">Базовый норматив затрат на общехозяйственные нужды на оказание </w:t>
            </w:r>
            <w:r>
              <w:rPr>
                <w:rFonts w:eastAsia="" w:cs="Times New Roman"/>
                <w:b w:val="false"/>
                <w:bCs w:val="false"/>
                <w:kern w:val="0"/>
                <w:sz w:val="22"/>
                <w:szCs w:val="22"/>
                <w:lang w:val="en-US" w:eastAsia="ru-RU" w:bidi="ar-SA"/>
              </w:rPr>
              <w:t>i</w:t>
            </w:r>
            <w:r>
              <w:rPr>
                <w:rFonts w:eastAsia="" w:cs="Times New Roman"/>
                <w:b w:val="false"/>
                <w:bCs w:val="false"/>
                <w:kern w:val="0"/>
                <w:sz w:val="22"/>
                <w:szCs w:val="22"/>
                <w:lang w:val="ru-RU" w:eastAsia="ru-RU" w:bidi="ar-SA"/>
              </w:rPr>
              <w:t>-ой муниципальной услуги, руб.</w:t>
            </w:r>
          </w:p>
        </w:tc>
        <w:tc>
          <w:tcPr>
            <w:tcW w:w="1419"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c>
          <w:tcPr>
            <w:tcW w:w="1559"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c>
          <w:tcPr>
            <w:tcW w:w="169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r>
      <w:tr>
        <w:trPr>
          <w:trHeight w:val="3516" w:hRule="atLeast"/>
        </w:trPr>
        <w:tc>
          <w:tcPr>
            <w:tcW w:w="226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c>
          <w:tcPr>
            <w:tcW w:w="1701"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c>
          <w:tcPr>
            <w:tcW w:w="1843"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 xml:space="preserve">Нормативные затраты на оплату труда и начисления на выплаты по оплате труда работников, непосредственно связанных с оказанием </w:t>
            </w:r>
            <w:r>
              <w:rPr>
                <w:rFonts w:eastAsia="" w:cs="Times New Roman"/>
                <w:b w:val="false"/>
                <w:bCs w:val="false"/>
                <w:kern w:val="0"/>
                <w:sz w:val="22"/>
                <w:szCs w:val="22"/>
                <w:lang w:val="en-US" w:eastAsia="ru-RU" w:bidi="ar-SA"/>
              </w:rPr>
              <w:t>i</w:t>
            </w:r>
            <w:r>
              <w:rPr>
                <w:rFonts w:eastAsia="" w:cs="Times New Roman"/>
                <w:b w:val="false"/>
                <w:bCs w:val="false"/>
                <w:kern w:val="0"/>
                <w:sz w:val="22"/>
                <w:szCs w:val="22"/>
                <w:lang w:val="ru-RU" w:eastAsia="ru-RU" w:bidi="ar-SA"/>
              </w:rPr>
              <w:t>-ой муниципальной услугой</w:t>
            </w:r>
          </w:p>
        </w:tc>
        <w:tc>
          <w:tcPr>
            <w:tcW w:w="1701"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 xml:space="preserve">Нормативные затраты на приобретение материальных запасов и основных средств, потребляемых в процессе </w:t>
            </w:r>
            <w:r>
              <w:rPr>
                <w:rFonts w:eastAsia="" w:cs="Times New Roman"/>
                <w:b w:val="false"/>
                <w:bCs w:val="false"/>
                <w:kern w:val="0"/>
                <w:sz w:val="22"/>
                <w:szCs w:val="22"/>
                <w:lang w:val="en-US" w:eastAsia="ru-RU" w:bidi="ar-SA"/>
              </w:rPr>
              <w:t>i</w:t>
            </w:r>
            <w:r>
              <w:rPr>
                <w:rFonts w:eastAsia="" w:cs="Times New Roman"/>
                <w:b w:val="false"/>
                <w:bCs w:val="false"/>
                <w:kern w:val="0"/>
                <w:sz w:val="22"/>
                <w:szCs w:val="22"/>
                <w:lang w:val="ru-RU" w:eastAsia="ru-RU" w:bidi="ar-SA"/>
              </w:rPr>
              <w:t>-ой муниципальной услуги</w:t>
            </w:r>
          </w:p>
        </w:tc>
        <w:tc>
          <w:tcPr>
            <w:tcW w:w="1562"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 xml:space="preserve">Иные нормативно затраты, непосредственно связанные с оказанием </w:t>
            </w:r>
            <w:r>
              <w:rPr>
                <w:rFonts w:eastAsia="" w:cs="Times New Roman"/>
                <w:b w:val="false"/>
                <w:bCs w:val="false"/>
                <w:kern w:val="0"/>
                <w:sz w:val="22"/>
                <w:szCs w:val="22"/>
                <w:lang w:val="en-US" w:eastAsia="ru-RU" w:bidi="ar-SA"/>
              </w:rPr>
              <w:t>i</w:t>
            </w:r>
            <w:r>
              <w:rPr>
                <w:rFonts w:eastAsia="" w:cs="Times New Roman"/>
                <w:b w:val="false"/>
                <w:bCs w:val="false"/>
                <w:kern w:val="0"/>
                <w:sz w:val="22"/>
                <w:szCs w:val="22"/>
                <w:lang w:val="ru-RU" w:eastAsia="ru-RU" w:bidi="ar-SA"/>
              </w:rPr>
              <w:t>-ой муниципальной услуги</w:t>
            </w:r>
          </w:p>
        </w:tc>
        <w:tc>
          <w:tcPr>
            <w:tcW w:w="1701"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c>
          <w:tcPr>
            <w:tcW w:w="1419"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c>
          <w:tcPr>
            <w:tcW w:w="1559"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c>
          <w:tcPr>
            <w:tcW w:w="169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kern w:val="0"/>
                <w:sz w:val="22"/>
                <w:szCs w:val="22"/>
                <w:lang w:val="ru-RU" w:eastAsia="ru-RU" w:bidi="ar-SA"/>
              </w:rPr>
            </w:pPr>
            <w:r>
              <w:rPr>
                <w:rFonts w:eastAsia="" w:cs="" w:ascii="Calibri" w:hAnsi="Calibri"/>
                <w:b w:val="false"/>
                <w:bCs w:val="false"/>
                <w:kern w:val="0"/>
                <w:sz w:val="22"/>
                <w:szCs w:val="22"/>
                <w:lang w:val="ru-RU" w:eastAsia="ru-RU" w:bidi="ar-SA"/>
              </w:rPr>
            </w:r>
          </w:p>
        </w:tc>
      </w:tr>
      <w:tr>
        <w:trPr>
          <w:trHeight w:val="995" w:hRule="atLeast"/>
        </w:trPr>
        <w:tc>
          <w:tcPr>
            <w:tcW w:w="2266"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4"/>
                <w:szCs w:val="24"/>
                <w:lang w:val="ru-RU" w:eastAsia="ru-RU" w:bidi="ar-SA"/>
              </w:rPr>
              <w:t>Показ кинофильмов</w:t>
            </w:r>
          </w:p>
        </w:tc>
        <w:tc>
          <w:tcPr>
            <w:tcW w:w="1701"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170,771580901</w:t>
            </w:r>
          </w:p>
        </w:tc>
        <w:tc>
          <w:tcPr>
            <w:tcW w:w="1843"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81,0289656</w:t>
            </w:r>
          </w:p>
        </w:tc>
        <w:tc>
          <w:tcPr>
            <w:tcW w:w="1701"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0</w:t>
            </w:r>
          </w:p>
        </w:tc>
        <w:tc>
          <w:tcPr>
            <w:tcW w:w="1562"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0</w:t>
            </w:r>
          </w:p>
        </w:tc>
        <w:tc>
          <w:tcPr>
            <w:tcW w:w="1701"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89,742615294</w:t>
            </w:r>
          </w:p>
        </w:tc>
        <w:tc>
          <w:tcPr>
            <w:tcW w:w="1419"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125 529,28</w:t>
            </w:r>
          </w:p>
        </w:tc>
        <w:tc>
          <w:tcPr>
            <w:tcW w:w="1559"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1</w:t>
            </w:r>
          </w:p>
        </w:tc>
        <w:tc>
          <w:tcPr>
            <w:tcW w:w="1696" w:type="dxa"/>
            <w:tcBorders/>
            <w:vAlign w:val="center"/>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1,21246606629</w:t>
            </w:r>
          </w:p>
        </w:tc>
      </w:tr>
    </w:tbl>
    <w:p>
      <w:pPr>
        <w:pStyle w:val="Normal"/>
        <w:tabs>
          <w:tab w:val="clear" w:pos="708"/>
          <w:tab w:val="left" w:pos="5205" w:leader="none"/>
        </w:tabs>
        <w:spacing w:before="0" w:after="0"/>
        <w:rPr>
          <w:b w:val="false"/>
          <w:bCs w:val="false"/>
        </w:rPr>
      </w:pPr>
      <w:r>
        <w:rPr>
          <w:b w:val="false"/>
          <w:bCs w:val="false"/>
        </w:rPr>
      </w:r>
    </w:p>
    <w:p>
      <w:pPr>
        <w:pStyle w:val="Normal"/>
        <w:tabs>
          <w:tab w:val="clear" w:pos="708"/>
          <w:tab w:val="left" w:pos="5205" w:leader="none"/>
        </w:tabs>
        <w:spacing w:before="0" w:after="0"/>
        <w:rPr>
          <w:b w:val="false"/>
          <w:bCs w:val="false"/>
        </w:rPr>
      </w:pPr>
      <w:r>
        <w:rPr>
          <w:b w:val="false"/>
          <w:bCs w:val="false"/>
        </w:rPr>
      </w:r>
    </w:p>
    <w:p>
      <w:pPr>
        <w:pStyle w:val="Normal"/>
        <w:tabs>
          <w:tab w:val="clear" w:pos="708"/>
          <w:tab w:val="left" w:pos="5205" w:leader="none"/>
        </w:tabs>
        <w:spacing w:before="0" w:after="0"/>
        <w:rPr>
          <w:b w:val="false"/>
          <w:bCs w:val="false"/>
        </w:rPr>
      </w:pPr>
      <w:r>
        <w:rPr>
          <w:b w:val="false"/>
          <w:bCs w:val="false"/>
        </w:rPr>
      </w:r>
    </w:p>
    <w:p>
      <w:pPr>
        <w:pStyle w:val="Normal"/>
        <w:tabs>
          <w:tab w:val="clear" w:pos="708"/>
          <w:tab w:val="left" w:pos="5205" w:leader="none"/>
        </w:tabs>
        <w:spacing w:before="0" w:after="0"/>
        <w:rPr/>
      </w:pPr>
      <w:r>
        <w:rPr/>
        <w:t xml:space="preserve">Глава Кавказского сельского поселения     </w:t>
      </w:r>
    </w:p>
    <w:p>
      <w:pPr>
        <w:pStyle w:val="Normal"/>
        <w:tabs>
          <w:tab w:val="clear" w:pos="708"/>
          <w:tab w:val="left" w:pos="5205" w:leader="none"/>
        </w:tabs>
        <w:spacing w:before="0" w:after="0"/>
        <w:rPr/>
      </w:pPr>
      <w:r>
        <w:rPr/>
        <w:t>Кавказского района                                                                                                                                                             И.В. Бережинская</w:t>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widowControl w:val="false"/>
        <w:spacing w:lineRule="auto" w:line="240" w:before="0" w:after="0"/>
        <w:ind w:firstLine="540"/>
        <w:jc w:val="both"/>
        <w:rPr/>
      </w:pPr>
      <w:r>
        <w:rPr/>
      </w:r>
    </w:p>
    <w:p>
      <w:pPr>
        <w:pStyle w:val="Normal"/>
        <w:tabs>
          <w:tab w:val="clear" w:pos="708"/>
          <w:tab w:val="left" w:pos="5205" w:leader="none"/>
        </w:tabs>
        <w:spacing w:before="0" w:after="0"/>
        <w:ind w:left="426" w:hanging="0"/>
        <w:rPr/>
      </w:pPr>
      <w:r>
        <w:rPr/>
      </w:r>
    </w:p>
    <w:tbl>
      <w:tblPr>
        <w:tblStyle w:val="af5"/>
        <w:tblW w:w="10314" w:type="dxa"/>
        <w:jc w:val="left"/>
        <w:tblInd w:w="108" w:type="dxa"/>
        <w:tblLayout w:type="fixed"/>
        <w:tblCellMar>
          <w:top w:w="0" w:type="dxa"/>
          <w:left w:w="108" w:type="dxa"/>
          <w:bottom w:w="0" w:type="dxa"/>
          <w:right w:w="108" w:type="dxa"/>
        </w:tblCellMar>
        <w:tblLook w:val="04a0"/>
      </w:tblPr>
      <w:tblGrid>
        <w:gridCol w:w="3302"/>
        <w:gridCol w:w="2167"/>
        <w:gridCol w:w="4845"/>
      </w:tblGrid>
      <w:tr>
        <w:trPr/>
        <w:tc>
          <w:tcPr>
            <w:tcW w:w="3302" w:type="dxa"/>
            <w:tcBorders>
              <w:top w:val="nil"/>
              <w:left w:val="nil"/>
              <w:bottom w:val="nil"/>
              <w:right w:val="nil"/>
            </w:tcBorders>
          </w:tcPr>
          <w:p>
            <w:pPr>
              <w:pStyle w:val="Normal"/>
              <w:widowControl w:val="false"/>
              <w:suppressAutoHyphens w:val="true"/>
              <w:spacing w:before="0" w:after="200"/>
              <w:jc w:val="center"/>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2167" w:type="dxa"/>
            <w:tcBorders>
              <w:top w:val="nil"/>
              <w:left w:val="nil"/>
              <w:bottom w:val="nil"/>
              <w:right w:val="nil"/>
            </w:tcBorders>
          </w:tcPr>
          <w:p>
            <w:pPr>
              <w:pStyle w:val="Normal"/>
              <w:widowControl w:val="false"/>
              <w:suppressAutoHyphens w:val="true"/>
              <w:spacing w:before="0" w:after="200"/>
              <w:jc w:val="center"/>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4845" w:type="dxa"/>
            <w:tcBorders>
              <w:top w:val="nil"/>
              <w:left w:val="nil"/>
              <w:bottom w:val="nil"/>
              <w:right w:val="nil"/>
            </w:tcBorders>
          </w:tcPr>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УТВЕРЖДАЮ:</w:t>
            </w:r>
          </w:p>
          <w:p>
            <w:pPr>
              <w:pStyle w:val="Normal"/>
              <w:widowControl w:val="false"/>
              <w:suppressAutoHyphens w:val="true"/>
              <w:spacing w:before="0" w:after="0"/>
              <w:jc w:val="center"/>
              <w:rPr>
                <w:sz w:val="28"/>
                <w:szCs w:val="28"/>
              </w:rPr>
            </w:pPr>
            <w:r>
              <w:rPr>
                <w:sz w:val="28"/>
                <w:szCs w:val="28"/>
              </w:rPr>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ПРИЛОЖЕНИЕ № 2</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Times New Roman"/>
                <w:kern w:val="0"/>
                <w:sz w:val="28"/>
                <w:szCs w:val="28"/>
                <w:lang w:val="ru-RU" w:eastAsia="ru-RU" w:bidi="ar-SA"/>
              </w:rPr>
              <w:t xml:space="preserve">от </w:t>
            </w:r>
            <w:r>
              <w:rPr>
                <w:rFonts w:eastAsia="" w:cs="Times New Roman"/>
                <w:kern w:val="0"/>
                <w:sz w:val="28"/>
                <w:szCs w:val="28"/>
                <w:lang w:val="ru-RU" w:eastAsia="ru-RU" w:bidi="ar-SA"/>
              </w:rPr>
              <w:t xml:space="preserve">09.12.2024 </w:t>
            </w:r>
            <w:r>
              <w:rPr>
                <w:rFonts w:eastAsia="" w:cs="Times New Roman"/>
                <w:kern w:val="0"/>
                <w:sz w:val="28"/>
                <w:szCs w:val="28"/>
                <w:lang w:val="ru-RU" w:eastAsia="ru-RU" w:bidi="ar-SA"/>
              </w:rPr>
              <w:t xml:space="preserve">№ </w:t>
            </w:r>
            <w:r>
              <w:rPr>
                <w:rFonts w:eastAsia="" w:cs="Times New Roman"/>
                <w:kern w:val="0"/>
                <w:sz w:val="28"/>
                <w:szCs w:val="28"/>
                <w:lang w:val="ru-RU" w:eastAsia="ru-RU" w:bidi="ar-SA"/>
              </w:rPr>
              <w:t>338</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«УТВЕРЖДАЮ:</w:t>
            </w:r>
          </w:p>
          <w:p>
            <w:pPr>
              <w:pStyle w:val="Normal"/>
              <w:widowControl w:val="false"/>
              <w:suppressAutoHyphens w:val="true"/>
              <w:spacing w:before="0" w:after="0"/>
              <w:jc w:val="center"/>
              <w:rPr>
                <w:sz w:val="28"/>
                <w:szCs w:val="28"/>
              </w:rPr>
            </w:pPr>
            <w:r>
              <w:rPr>
                <w:sz w:val="28"/>
                <w:szCs w:val="28"/>
              </w:rPr>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ПРИЛОЖЕНИЕ № 2</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Times New Roman"/>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Times New Roman"/>
                <w:kern w:val="0"/>
                <w:sz w:val="28"/>
                <w:szCs w:val="28"/>
                <w:lang w:val="ru-RU" w:eastAsia="ru-RU" w:bidi="ar-SA"/>
              </w:rPr>
              <w:t>от   27.10.2023  № 261/1</w:t>
            </w:r>
          </w:p>
        </w:tc>
      </w:tr>
    </w:tbl>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ind w:left="142" w:hanging="0"/>
        <w:jc w:val="center"/>
        <w:rPr>
          <w:b/>
          <w:bCs/>
        </w:rPr>
      </w:pPr>
      <w:r>
        <w:rPr>
          <w:b/>
          <w:bCs/>
        </w:rPr>
        <w:t>Нормативные затраты на оказание муниципальных услуг</w:t>
      </w:r>
    </w:p>
    <w:p>
      <w:pPr>
        <w:pStyle w:val="Normal"/>
        <w:tabs>
          <w:tab w:val="clear" w:pos="708"/>
          <w:tab w:val="left" w:pos="5205" w:leader="none"/>
        </w:tabs>
        <w:spacing w:before="0" w:after="0"/>
        <w:ind w:left="142" w:hanging="0"/>
        <w:jc w:val="center"/>
        <w:rPr>
          <w:b/>
          <w:bCs/>
        </w:rPr>
      </w:pPr>
      <w:r>
        <w:rPr>
          <w:b/>
          <w:bCs/>
        </w:rPr>
        <w:t xml:space="preserve"> </w:t>
      </w:r>
      <w:r>
        <w:rPr>
          <w:b/>
          <w:bCs/>
        </w:rPr>
        <w:t xml:space="preserve">(выполнение работ), применяемые при расчете объема финансового обеспечения выполнения муниципального задания на оказание муниципальных услуг (выполнение работ) муниципальными </w:t>
      </w:r>
    </w:p>
    <w:p>
      <w:pPr>
        <w:pStyle w:val="Normal"/>
        <w:tabs>
          <w:tab w:val="clear" w:pos="708"/>
          <w:tab w:val="left" w:pos="5205" w:leader="none"/>
        </w:tabs>
        <w:spacing w:before="0" w:after="0"/>
        <w:ind w:left="142" w:hanging="0"/>
        <w:jc w:val="center"/>
        <w:rPr>
          <w:b/>
          <w:bCs/>
        </w:rPr>
      </w:pPr>
      <w:r>
        <w:rPr>
          <w:b/>
          <w:bCs/>
        </w:rPr>
        <w:t xml:space="preserve"> </w:t>
      </w:r>
      <w:r>
        <w:rPr>
          <w:b/>
          <w:bCs/>
        </w:rPr>
        <w:t>бюджетными учреждениями культуры Кавказского сельского поселения Кавказского района на 2024 год</w:t>
      </w:r>
    </w:p>
    <w:p>
      <w:pPr>
        <w:pStyle w:val="Normal"/>
        <w:tabs>
          <w:tab w:val="clear" w:pos="708"/>
          <w:tab w:val="left" w:pos="5205" w:leader="none"/>
        </w:tabs>
        <w:spacing w:before="0" w:after="0"/>
        <w:jc w:val="center"/>
        <w:rPr>
          <w:b w:val="false"/>
          <w:bCs w:val="false"/>
        </w:rPr>
      </w:pPr>
      <w:r>
        <w:rPr>
          <w:b w:val="false"/>
          <w:bCs w:val="false"/>
        </w:rPr>
      </w:r>
    </w:p>
    <w:tbl>
      <w:tblPr>
        <w:tblStyle w:val="af5"/>
        <w:tblW w:w="9639" w:type="dxa"/>
        <w:jc w:val="left"/>
        <w:tblInd w:w="363" w:type="dxa"/>
        <w:tblLayout w:type="fixed"/>
        <w:tblCellMar>
          <w:top w:w="0" w:type="dxa"/>
          <w:left w:w="108" w:type="dxa"/>
          <w:bottom w:w="0" w:type="dxa"/>
          <w:right w:w="108" w:type="dxa"/>
        </w:tblCellMar>
        <w:tblLook w:val="04a0"/>
      </w:tblPr>
      <w:tblGrid>
        <w:gridCol w:w="4473"/>
        <w:gridCol w:w="5165"/>
      </w:tblGrid>
      <w:tr>
        <w:trPr>
          <w:trHeight w:val="815" w:hRule="atLeast"/>
        </w:trPr>
        <w:tc>
          <w:tcPr>
            <w:tcW w:w="4473"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Наименование муниципальной услуги (выполнение работ)</w:t>
            </w:r>
          </w:p>
        </w:tc>
        <w:tc>
          <w:tcPr>
            <w:tcW w:w="5165"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Нормативные затраты на оказание i-ой услуги (выполнение работ), за счет бюджетных средств руб.</w:t>
            </w:r>
          </w:p>
        </w:tc>
      </w:tr>
      <w:tr>
        <w:trPr/>
        <w:tc>
          <w:tcPr>
            <w:tcW w:w="4473" w:type="dxa"/>
            <w:tcBorders/>
          </w:tcPr>
          <w:p>
            <w:pPr>
              <w:pStyle w:val="Normal"/>
              <w:widowControl w:val="false"/>
              <w:tabs>
                <w:tab w:val="clear" w:pos="708"/>
                <w:tab w:val="left" w:pos="5205" w:leader="none"/>
              </w:tabs>
              <w:suppressAutoHyphens w:val="true"/>
              <w:spacing w:before="0" w:after="200"/>
              <w:jc w:val="left"/>
              <w:rPr>
                <w:rFonts w:ascii="Times New Roman" w:hAnsi="Times New Roman" w:eastAsia="" w:cs="Times New Roman"/>
                <w:b w:val="false"/>
                <w:bCs w:val="false"/>
                <w:kern w:val="0"/>
                <w:szCs w:val="24"/>
                <w:lang w:val="ru-RU" w:eastAsia="ru-RU" w:bidi="ar-SA"/>
              </w:rPr>
            </w:pPr>
            <w:r>
              <w:rPr>
                <w:rFonts w:eastAsia="" w:cs="Times New Roman"/>
                <w:b w:val="false"/>
                <w:bCs w:val="false"/>
                <w:kern w:val="0"/>
                <w:szCs w:val="24"/>
                <w:lang w:val="ru-RU" w:eastAsia="ru-RU" w:bidi="ar-SA"/>
              </w:rPr>
            </w:r>
          </w:p>
          <w:p>
            <w:pPr>
              <w:pStyle w:val="Normal"/>
              <w:widowControl w:val="false"/>
              <w:tabs>
                <w:tab w:val="clear" w:pos="708"/>
                <w:tab w:val="left" w:pos="5205" w:leader="none"/>
              </w:tabs>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4"/>
                <w:lang w:val="ru-RU" w:eastAsia="ru-RU" w:bidi="ar-SA"/>
              </w:rPr>
              <w:t>Показ кинофильмов</w:t>
            </w:r>
          </w:p>
        </w:tc>
        <w:tc>
          <w:tcPr>
            <w:tcW w:w="5165"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eastAsia="" w:cs="Times New Roman"/>
                <w:b w:val="false"/>
                <w:bCs w:val="false"/>
                <w:kern w:val="0"/>
                <w:sz w:val="22"/>
                <w:szCs w:val="22"/>
                <w:lang w:val="ru-RU" w:eastAsia="ru-RU" w:bidi="ar-SA"/>
              </w:rPr>
            </w:pPr>
            <w:r>
              <w:rPr>
                <w:rFonts w:eastAsia="" w:cs="Times New Roman"/>
                <w:b w:val="false"/>
                <w:bCs w:val="false"/>
                <w:kern w:val="0"/>
                <w:sz w:val="22"/>
                <w:szCs w:val="22"/>
                <w:lang w:val="ru-RU" w:eastAsia="ru-RU" w:bidi="ar-SA"/>
              </w:rPr>
            </w:r>
          </w:p>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 w:val="22"/>
                <w:szCs w:val="22"/>
                <w:lang w:val="ru-RU" w:eastAsia="ru-RU" w:bidi="ar-SA"/>
              </w:rPr>
              <w:t>207,054746930</w:t>
            </w:r>
          </w:p>
          <w:p>
            <w:pPr>
              <w:pStyle w:val="Normal"/>
              <w:widowControl w:val="false"/>
              <w:tabs>
                <w:tab w:val="clear" w:pos="708"/>
                <w:tab w:val="left" w:pos="5205" w:leader="none"/>
              </w:tabs>
              <w:suppressAutoHyphens w:val="true"/>
              <w:spacing w:before="0" w:after="200"/>
              <w:jc w:val="center"/>
              <w:rPr>
                <w:rFonts w:ascii="Times New Roman" w:hAnsi="Times New Roman" w:eastAsia="" w:cs="Times New Roman"/>
                <w:b w:val="false"/>
                <w:bCs w:val="false"/>
                <w:kern w:val="0"/>
                <w:sz w:val="22"/>
                <w:szCs w:val="22"/>
                <w:lang w:val="ru-RU" w:eastAsia="ru-RU" w:bidi="ar-SA"/>
              </w:rPr>
            </w:pPr>
            <w:r>
              <w:rPr>
                <w:rFonts w:eastAsia="" w:cs="Times New Roman"/>
                <w:b w:val="false"/>
                <w:bCs w:val="false"/>
                <w:kern w:val="0"/>
                <w:sz w:val="22"/>
                <w:szCs w:val="22"/>
                <w:lang w:val="ru-RU" w:eastAsia="ru-RU" w:bidi="ar-SA"/>
              </w:rPr>
            </w:r>
          </w:p>
        </w:tc>
      </w:tr>
    </w:tbl>
    <w:p>
      <w:pPr>
        <w:pStyle w:val="Normal"/>
        <w:tabs>
          <w:tab w:val="clear" w:pos="708"/>
          <w:tab w:val="left" w:pos="5205" w:leader="none"/>
        </w:tabs>
        <w:spacing w:before="0" w:after="0"/>
        <w:rPr>
          <w:b w:val="false"/>
          <w:bCs w:val="false"/>
        </w:rPr>
      </w:pPr>
      <w:r>
        <w:rPr>
          <w:b w:val="false"/>
          <w:bCs w:val="false"/>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Глава Кавказского сельского поселения</w:t>
      </w:r>
    </w:p>
    <w:p>
      <w:pPr>
        <w:pStyle w:val="Normal"/>
        <w:tabs>
          <w:tab w:val="clear" w:pos="708"/>
          <w:tab w:val="left" w:pos="5205" w:leader="none"/>
        </w:tabs>
        <w:spacing w:before="0" w:after="0"/>
        <w:rPr/>
      </w:pPr>
      <w:r>
        <w:rPr/>
        <w:t>Кавказского района                                                                            И.В.Бережинская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sectPr>
      <w:type w:val="nextPage"/>
      <w:pgSz w:w="11906" w:h="16838"/>
      <w:pgMar w:left="1134" w:right="849"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ca3086"/>
    <w:pPr>
      <w:keepNext w:val="true"/>
      <w:spacing w:before="240" w:after="120"/>
    </w:pPr>
    <w:rPr>
      <w:rFonts w:ascii="Liberation Sans" w:hAnsi="Liberation Sans" w:eastAsia="Microsoft YaHei" w:cs="Mangal"/>
    </w:rPr>
  </w:style>
  <w:style w:type="paragraph" w:styleId="Style18">
    <w:name w:val="Body Text"/>
    <w:basedOn w:val="Normal"/>
    <w:rsid w:val="00ca3086"/>
    <w:pPr>
      <w:spacing w:lineRule="auto" w:line="288" w:before="0" w:after="140"/>
    </w:pPr>
    <w:rPr/>
  </w:style>
  <w:style w:type="paragraph" w:styleId="Style19">
    <w:name w:val="List"/>
    <w:basedOn w:val="Style18"/>
    <w:rsid w:val="00ca3086"/>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rsid w:val="00ca3086"/>
    <w:pPr>
      <w:suppressLineNumbers/>
      <w:spacing w:before="120" w:after="120"/>
    </w:pPr>
    <w:rPr>
      <w:rFonts w:cs="Mangal"/>
      <w:i/>
      <w:iCs/>
      <w:sz w:val="24"/>
      <w:szCs w:val="24"/>
    </w:rPr>
  </w:style>
  <w:style w:type="paragraph" w:styleId="Indexheading">
    <w:name w:val="index heading"/>
    <w:basedOn w:val="Normal"/>
    <w:qFormat/>
    <w:rsid w:val="00ca3086"/>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customStyle="1">
    <w:name w:val="Содержимое таблицы"/>
    <w:basedOn w:val="Normal"/>
    <w:qFormat/>
    <w:rsid w:val="00ca3086"/>
    <w:pPr>
      <w:suppressLineNumbers/>
    </w:pPr>
    <w:rPr/>
  </w:style>
  <w:style w:type="paragraph" w:styleId="Style30" w:customStyle="1">
    <w:name w:val="Заголовок таблицы"/>
    <w:basedOn w:val="Style29"/>
    <w:qFormat/>
    <w:rsid w:val="00ca3086"/>
    <w:pPr>
      <w:jc w:val="center"/>
    </w:pPr>
    <w:rPr>
      <w:b/>
      <w:bCs/>
    </w:rPr>
  </w:style>
  <w:style w:type="paragraph" w:styleId="Caption11">
    <w:name w:val="caption11"/>
    <w:basedOn w:val="Normal"/>
    <w:qFormat/>
    <w:pPr>
      <w:spacing w:before="120" w:after="120"/>
    </w:pPr>
    <w:rPr>
      <w:rFonts w:cs="Mangal"/>
      <w:i/>
      <w:i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E1194-408F-4B0F-9F01-8C91D6B2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Application>LibreOffice/7.5.5.2$Windows_X86_64 LibreOffice_project/ca8fe7424262805f223b9a2334bc7181abbcbf5e</Application>
  <AppVersion>15.0000</AppVersion>
  <Pages>5</Pages>
  <Words>565</Words>
  <Characters>4139</Characters>
  <CharactersWithSpaces>5014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Osadskaya</dc:creator>
  <dc:description/>
  <dc:language>ru-RU</dc:language>
  <cp:lastModifiedBy/>
  <dcterms:modified xsi:type="dcterms:W3CDTF">2024-12-17T13:24:01Z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